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穗（番）环管影〔20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114</w:t>
      </w:r>
      <w:r>
        <w:rPr>
          <w:rFonts w:hint="eastAsia" w:ascii="仿宋_GB2312" w:eastAsia="仿宋_GB2312"/>
          <w:color w:val="000000" w:themeColor="text1"/>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广州市生态环境局关于广州邦鑫海洋技术有限公司实验室建设项目</w:t>
      </w:r>
      <w:bookmarkStart w:id="0" w:name="_GoBack"/>
      <w:bookmarkEnd w:id="0"/>
      <w:r>
        <w:rPr>
          <w:rFonts w:hint="eastAsia" w:ascii="方正小标宋简体" w:eastAsia="方正小标宋简体"/>
          <w:color w:val="000000" w:themeColor="text1"/>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广州邦鑫海洋技术有限公司（</w:t>
      </w:r>
      <w:r>
        <w:rPr>
          <w:rFonts w:hint="eastAsia" w:ascii="仿宋_GB2312" w:eastAsia="仿宋_GB2312"/>
          <w:bCs/>
          <w:color w:val="000000" w:themeColor="text1"/>
          <w:sz w:val="32"/>
          <w:szCs w:val="32"/>
        </w:rPr>
        <w:t>91440</w:t>
      </w:r>
      <w:r>
        <w:rPr>
          <w:rFonts w:hint="eastAsia" w:ascii="仿宋_GB2312" w:eastAsia="仿宋_GB2312"/>
          <w:bCs/>
          <w:color w:val="000000" w:themeColor="text1"/>
          <w:sz w:val="32"/>
          <w:szCs w:val="32"/>
          <w:lang w:val="en-US" w:eastAsia="zh-CN"/>
        </w:rPr>
        <w:t>101MA59HREA11</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你单位报送的《广州邦鑫海洋技术有限公司实验室建设项目环境影响报告表》（以下简称“《报告表》”）及附送资料收悉。经研究，现批复如下：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一、广州邦鑫海洋技术有限公司实验室建设项目（以下简称“该项目”）位于广州市番禺区南村镇樟边为民西路3号自编3号楼2、3、4、5</w:t>
      </w:r>
      <w:r>
        <w:rPr>
          <w:rFonts w:hint="eastAsia" w:ascii="仿宋_GB2312" w:eastAsia="仿宋_GB2312"/>
          <w:color w:val="000000" w:themeColor="text1"/>
          <w:sz w:val="32"/>
          <w:szCs w:val="32"/>
          <w:lang w:eastAsia="zh-CN"/>
        </w:rPr>
        <w:t>层</w:t>
      </w:r>
      <w:r>
        <w:rPr>
          <w:rFonts w:hint="eastAsia" w:ascii="仿宋_GB2312" w:eastAsia="仿宋_GB2312"/>
          <w:color w:val="000000" w:themeColor="text1"/>
          <w:sz w:val="32"/>
          <w:szCs w:val="32"/>
        </w:rPr>
        <w:t>，申报内容为</w:t>
      </w:r>
      <w:r>
        <w:rPr>
          <w:rFonts w:hint="eastAsia" w:ascii="仿宋_GB2312" w:eastAsia="仿宋_GB2312"/>
          <w:color w:val="000000" w:themeColor="text1"/>
          <w:sz w:val="32"/>
          <w:szCs w:val="32"/>
          <w:lang w:eastAsia="zh-CN"/>
        </w:rPr>
        <w:t>从事环境监测工作，年编制检测报告</w:t>
      </w:r>
      <w:r>
        <w:rPr>
          <w:rFonts w:hint="eastAsia" w:ascii="仿宋_GB2312" w:eastAsia="仿宋_GB2312"/>
          <w:color w:val="000000" w:themeColor="text1"/>
          <w:sz w:val="32"/>
          <w:szCs w:val="32"/>
          <w:lang w:val="en-US" w:eastAsia="zh-CN"/>
        </w:rPr>
        <w:t>3000份</w:t>
      </w:r>
      <w:r>
        <w:rPr>
          <w:rFonts w:hint="eastAsia" w:ascii="仿宋_GB2312" w:eastAsia="仿宋_GB2312"/>
          <w:color w:val="000000" w:themeColor="text1"/>
          <w:sz w:val="32"/>
          <w:szCs w:val="32"/>
        </w:rPr>
        <w:t>。该项目占地面</w:t>
      </w:r>
      <w:r>
        <w:rPr>
          <w:rFonts w:hint="eastAsia" w:ascii="仿宋_GB2312" w:eastAsia="仿宋_GB2312"/>
          <w:color w:val="000000" w:themeColor="text1"/>
          <w:sz w:val="32"/>
          <w:szCs w:val="32"/>
          <w:highlight w:val="none"/>
        </w:rPr>
        <w:t>积</w:t>
      </w:r>
      <w:r>
        <w:rPr>
          <w:rFonts w:hint="eastAsia" w:ascii="仿宋_GB2312" w:eastAsia="仿宋_GB2312"/>
          <w:color w:val="000000" w:themeColor="text1"/>
          <w:sz w:val="32"/>
          <w:szCs w:val="32"/>
          <w:highlight w:val="none"/>
          <w:lang w:val="en-US" w:eastAsia="zh-CN"/>
        </w:rPr>
        <w:t>257</w:t>
      </w:r>
      <w:r>
        <w:rPr>
          <w:rFonts w:hint="eastAsia" w:ascii="仿宋_GB2312" w:eastAsia="仿宋_GB2312"/>
          <w:color w:val="000000" w:themeColor="text1"/>
          <w:sz w:val="32"/>
          <w:szCs w:val="32"/>
          <w:highlight w:val="none"/>
        </w:rPr>
        <w:t>平</w:t>
      </w:r>
      <w:r>
        <w:rPr>
          <w:rFonts w:hint="eastAsia" w:ascii="仿宋_GB2312" w:eastAsia="仿宋_GB2312"/>
          <w:color w:val="000000" w:themeColor="text1"/>
          <w:sz w:val="32"/>
          <w:szCs w:val="32"/>
        </w:rPr>
        <w:t>方米，总建筑面积</w:t>
      </w:r>
      <w:r>
        <w:rPr>
          <w:rFonts w:hint="eastAsia" w:ascii="仿宋_GB2312" w:eastAsia="仿宋_GB2312"/>
          <w:color w:val="000000" w:themeColor="text1"/>
          <w:sz w:val="32"/>
          <w:szCs w:val="32"/>
          <w:lang w:val="en-US" w:eastAsia="zh-CN"/>
        </w:rPr>
        <w:t>1084</w:t>
      </w:r>
      <w:r>
        <w:rPr>
          <w:rFonts w:hint="eastAsia" w:ascii="仿宋_GB2312" w:eastAsia="仿宋_GB2312"/>
          <w:color w:val="000000" w:themeColor="text1"/>
          <w:sz w:val="32"/>
          <w:szCs w:val="32"/>
        </w:rPr>
        <w:t>平方米，</w:t>
      </w:r>
      <w:r>
        <w:rPr>
          <w:rFonts w:hint="eastAsia" w:ascii="仿宋_GB2312" w:eastAsia="仿宋_GB2312"/>
          <w:color w:val="000000" w:themeColor="text1"/>
          <w:sz w:val="32"/>
          <w:szCs w:val="32"/>
          <w:lang w:eastAsia="zh-CN"/>
        </w:rPr>
        <w:t>租用</w:t>
      </w:r>
      <w:r>
        <w:rPr>
          <w:rFonts w:hint="eastAsia" w:ascii="仿宋_GB2312" w:eastAsia="仿宋_GB2312"/>
          <w:color w:val="000000" w:themeColor="text1"/>
          <w:sz w:val="32"/>
          <w:szCs w:val="32"/>
          <w:lang w:val="en-US" w:eastAsia="zh-CN"/>
        </w:rPr>
        <w:t>1栋五层建筑物的第二、三、四、五层</w:t>
      </w:r>
      <w:r>
        <w:rPr>
          <w:rFonts w:hint="eastAsia" w:ascii="仿宋_GB2312" w:eastAsia="仿宋_GB2312"/>
          <w:color w:val="000000" w:themeColor="text1"/>
          <w:sz w:val="32"/>
          <w:szCs w:val="32"/>
        </w:rPr>
        <w:t>；主要设备有立式压力蒸汽灭菌器</w:t>
      </w:r>
      <w:r>
        <w:rPr>
          <w:rFonts w:hint="eastAsia" w:ascii="仿宋_GB2312" w:eastAsia="仿宋_GB2312"/>
          <w:color w:val="000000" w:themeColor="text1"/>
          <w:sz w:val="32"/>
          <w:szCs w:val="32"/>
          <w:lang w:val="en-US" w:eastAsia="zh-CN"/>
        </w:rPr>
        <w:t>1个、箱式电阻炉1个、生化培养箱1个、高温马氟炉1个、霉菌培养箱1个、超声波清洗仪1台、纯水机1台、原子吸收分光光度计2台、荧光分光光度计2台及</w:t>
      </w:r>
      <w:r>
        <w:rPr>
          <w:rFonts w:hint="eastAsia" w:ascii="仿宋_GB2312" w:eastAsia="仿宋_GB2312"/>
          <w:color w:val="000000" w:themeColor="text1"/>
          <w:sz w:val="32"/>
          <w:szCs w:val="32"/>
        </w:rPr>
        <w:t>附属实验设备一批；员工</w:t>
      </w:r>
      <w:r>
        <w:rPr>
          <w:rFonts w:hint="eastAsia" w:ascii="仿宋_GB2312" w:eastAsia="仿宋_GB2312"/>
          <w:color w:val="000000" w:themeColor="text1"/>
          <w:sz w:val="32"/>
          <w:szCs w:val="32"/>
          <w:lang w:val="en-US" w:eastAsia="zh-CN"/>
        </w:rPr>
        <w:t>30</w:t>
      </w:r>
      <w:r>
        <w:rPr>
          <w:rFonts w:hint="eastAsia" w:ascii="仿宋_GB2312" w:eastAsia="仿宋_GB2312"/>
          <w:color w:val="000000" w:themeColor="text1"/>
          <w:sz w:val="32"/>
          <w:szCs w:val="32"/>
        </w:rPr>
        <w:t>名，内部不安排食宿。</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val="en-US" w:eastAsia="zh-CN"/>
        </w:rPr>
      </w:pPr>
      <w:r>
        <w:rPr>
          <w:rFonts w:hint="eastAsia" w:ascii="仿宋_GB2312" w:eastAsia="仿宋_GB2312"/>
          <w:color w:val="000000" w:themeColor="text1"/>
          <w:sz w:val="32"/>
          <w:szCs w:val="32"/>
        </w:rPr>
        <w:t>（一）水污染物排放执行广东省《水污染物排放限值》（DB44/26-2001）第二时段三级标准。生活污水排放量不超过</w:t>
      </w:r>
      <w:r>
        <w:rPr>
          <w:rFonts w:hint="eastAsia" w:ascii="仿宋_GB2312" w:eastAsia="仿宋_GB2312"/>
          <w:color w:val="000000" w:themeColor="text1"/>
          <w:sz w:val="32"/>
          <w:szCs w:val="32"/>
          <w:lang w:val="en-US" w:eastAsia="zh-CN"/>
        </w:rPr>
        <w:t>756</w:t>
      </w:r>
      <w:r>
        <w:rPr>
          <w:rFonts w:hint="eastAsia" w:ascii="仿宋_GB2312" w:eastAsia="仿宋_GB2312"/>
          <w:color w:val="000000" w:themeColor="text1"/>
          <w:sz w:val="32"/>
          <w:szCs w:val="32"/>
        </w:rPr>
        <w:t>吨/年</w:t>
      </w:r>
      <w:r>
        <w:rPr>
          <w:rFonts w:hint="eastAsia" w:ascii="仿宋_GB2312" w:eastAsia="仿宋_GB2312"/>
          <w:color w:val="000000" w:themeColor="text1"/>
          <w:sz w:val="32"/>
          <w:szCs w:val="32"/>
          <w:lang w:eastAsia="zh-CN"/>
        </w:rPr>
        <w:t>，生产废水排放量不超过</w:t>
      </w:r>
      <w:r>
        <w:rPr>
          <w:rFonts w:hint="eastAsia" w:ascii="仿宋_GB2312" w:eastAsia="仿宋_GB2312"/>
          <w:color w:val="000000" w:themeColor="text1"/>
          <w:sz w:val="32"/>
          <w:szCs w:val="32"/>
          <w:lang w:val="en-US" w:eastAsia="zh-CN"/>
        </w:rPr>
        <w:t>41吨/年</w:t>
      </w:r>
      <w:r>
        <w:rPr>
          <w:rFonts w:hint="eastAsia" w:ascii="仿宋_GB2312" w:eastAsia="仿宋_GB2312"/>
          <w:color w:val="000000" w:themeColor="text1"/>
          <w:sz w:val="32"/>
          <w:szCs w:val="32"/>
          <w:lang w:eastAsia="zh-CN"/>
        </w:rPr>
        <w:t>。</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（二）氨</w:t>
      </w:r>
      <w:r>
        <w:rPr>
          <w:rFonts w:hint="eastAsia" w:ascii="仿宋_GB2312" w:eastAsia="仿宋_GB2312"/>
          <w:color w:val="000000" w:themeColor="text1"/>
          <w:sz w:val="32"/>
          <w:szCs w:val="32"/>
          <w:lang w:eastAsia="zh-CN"/>
        </w:rPr>
        <w:t>、臭气浓度</w:t>
      </w:r>
      <w:r>
        <w:rPr>
          <w:rFonts w:hint="eastAsia" w:ascii="仿宋_GB2312" w:eastAsia="仿宋_GB2312"/>
          <w:color w:val="000000" w:themeColor="text1"/>
          <w:sz w:val="32"/>
          <w:szCs w:val="32"/>
        </w:rPr>
        <w:t>排放执行《恶臭污染物排放标准》（GB14554-93）表1新扩改建厂界二级标准和表2排放标准值；总VOCs排放参照执行广东省《家具制造行业挥发性有机化合物排放标准》（DB44/814-2010）Ⅱ时段排放限值及无组织排放监控点浓度限值</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highlight w:val="none"/>
          <w:lang w:eastAsia="zh-CN"/>
        </w:rPr>
        <w:t>其他大气污染物</w:t>
      </w:r>
      <w:r>
        <w:rPr>
          <w:rFonts w:hint="eastAsia" w:ascii="仿宋_GB2312" w:eastAsia="仿宋_GB2312"/>
          <w:color w:val="000000" w:themeColor="text1"/>
          <w:sz w:val="32"/>
          <w:szCs w:val="32"/>
        </w:rPr>
        <w:t>排放执行广东省《大气污染物排放限值》（DB44/27-2001）第二时段二级标准及无组织排放监控浓度限值</w:t>
      </w:r>
      <w:r>
        <w:rPr>
          <w:rFonts w:hint="eastAsia" w:ascii="仿宋_GB2312" w:eastAsia="仿宋_GB2312"/>
          <w:color w:val="000000" w:themeColor="text1"/>
          <w:sz w:val="32"/>
          <w:szCs w:val="32"/>
          <w:lang w:eastAsia="zh-CN"/>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（三）边界噪声排放执行《工业企业厂界环境噪声排放标准》（GB12348-2008）2类区限值，即：昼间≤60</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，夜间≤50</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highlight w:val="none"/>
        </w:rPr>
      </w:pPr>
      <w:r>
        <w:rPr>
          <w:rFonts w:hint="eastAsia" w:ascii="仿宋_GB2312" w:eastAsia="仿宋_GB2312"/>
          <w:color w:val="000000" w:themeColor="text1"/>
          <w:sz w:val="32"/>
          <w:szCs w:val="32"/>
        </w:rPr>
        <w:t>（一）项目排水系统采用雨污分</w:t>
      </w:r>
      <w:r>
        <w:rPr>
          <w:rFonts w:hint="eastAsia" w:ascii="仿宋_GB2312" w:eastAsia="仿宋_GB2312"/>
          <w:color w:val="000000" w:themeColor="text1"/>
          <w:sz w:val="32"/>
          <w:szCs w:val="32"/>
          <w:highlight w:val="none"/>
        </w:rPr>
        <w:t>流。</w:t>
      </w:r>
      <w:r>
        <w:rPr>
          <w:rFonts w:hint="eastAsia" w:ascii="仿宋_GB2312" w:eastAsia="仿宋_GB2312"/>
          <w:bCs/>
          <w:color w:val="000000" w:themeColor="text1"/>
          <w:sz w:val="32"/>
          <w:szCs w:val="32"/>
          <w:highlight w:val="none"/>
          <w:lang w:eastAsia="zh-CN"/>
        </w:rPr>
        <w:t>喷淋废水定期更换，</w:t>
      </w:r>
      <w:r>
        <w:rPr>
          <w:rFonts w:hint="eastAsia" w:ascii="仿宋_GB2312" w:eastAsia="仿宋_GB2312"/>
          <w:bCs/>
          <w:color w:val="000000" w:themeColor="text1"/>
          <w:sz w:val="32"/>
          <w:szCs w:val="32"/>
          <w:highlight w:val="none"/>
        </w:rPr>
        <w:t>委托有</w:t>
      </w:r>
      <w:r>
        <w:rPr>
          <w:rFonts w:hint="eastAsia" w:ascii="仿宋_GB2312" w:eastAsia="仿宋_GB2312"/>
          <w:bCs/>
          <w:color w:val="000000" w:themeColor="text1"/>
          <w:sz w:val="32"/>
          <w:szCs w:val="32"/>
          <w:highlight w:val="none"/>
          <w:lang w:eastAsia="zh-CN"/>
        </w:rPr>
        <w:t>能力的处理单位处理，不外排</w:t>
      </w:r>
      <w:r>
        <w:rPr>
          <w:rFonts w:hint="eastAsia" w:ascii="仿宋_GB2312" w:eastAsia="仿宋_GB2312"/>
          <w:bCs/>
          <w:color w:val="000000" w:themeColor="text1"/>
          <w:sz w:val="32"/>
          <w:szCs w:val="32"/>
          <w:highlight w:val="none"/>
        </w:rPr>
        <w:t>；</w:t>
      </w:r>
      <w:r>
        <w:rPr>
          <w:rFonts w:hint="eastAsia" w:ascii="仿宋_GB2312" w:eastAsia="仿宋_GB2312"/>
          <w:bCs/>
          <w:color w:val="000000" w:themeColor="text1"/>
          <w:sz w:val="32"/>
          <w:szCs w:val="32"/>
          <w:highlight w:val="none"/>
          <w:lang w:eastAsia="zh-CN"/>
        </w:rPr>
        <w:t>实验后器皿清洗废水经“中和</w:t>
      </w:r>
      <w:r>
        <w:rPr>
          <w:rFonts w:hint="eastAsia" w:ascii="仿宋_GB2312" w:eastAsia="仿宋_GB2312"/>
          <w:bCs/>
          <w:color w:val="000000" w:themeColor="text1"/>
          <w:sz w:val="32"/>
          <w:szCs w:val="32"/>
          <w:highlight w:val="none"/>
          <w:lang w:val="en-US" w:eastAsia="zh-CN"/>
        </w:rPr>
        <w:t>+混凝沉淀</w:t>
      </w:r>
      <w:r>
        <w:rPr>
          <w:rFonts w:hint="eastAsia" w:ascii="仿宋_GB2312" w:eastAsia="仿宋_GB2312"/>
          <w:bCs/>
          <w:color w:val="000000" w:themeColor="text1"/>
          <w:sz w:val="32"/>
          <w:szCs w:val="32"/>
          <w:highlight w:val="none"/>
          <w:lang w:eastAsia="zh-CN"/>
        </w:rPr>
        <w:t>”预处理后，连同</w:t>
      </w:r>
      <w:r>
        <w:rPr>
          <w:rFonts w:hint="eastAsia" w:ascii="仿宋_GB2312" w:eastAsia="仿宋_GB2312"/>
          <w:color w:val="000000" w:themeColor="text1"/>
          <w:sz w:val="32"/>
          <w:szCs w:val="32"/>
          <w:highlight w:val="none"/>
        </w:rPr>
        <w:t>纯水</w:t>
      </w:r>
      <w:r>
        <w:rPr>
          <w:rFonts w:hint="eastAsia" w:ascii="仿宋_GB2312" w:eastAsia="仿宋_GB2312"/>
          <w:color w:val="000000" w:themeColor="text1"/>
          <w:sz w:val="32"/>
          <w:szCs w:val="32"/>
          <w:highlight w:val="none"/>
          <w:lang w:eastAsia="zh-CN"/>
        </w:rPr>
        <w:t>机</w:t>
      </w:r>
      <w:r>
        <w:rPr>
          <w:rFonts w:hint="eastAsia" w:ascii="仿宋_GB2312" w:eastAsia="仿宋_GB2312"/>
          <w:color w:val="000000" w:themeColor="text1"/>
          <w:sz w:val="32"/>
          <w:szCs w:val="32"/>
          <w:highlight w:val="none"/>
        </w:rPr>
        <w:t>产生的</w:t>
      </w:r>
      <w:r>
        <w:rPr>
          <w:rFonts w:hint="eastAsia" w:ascii="仿宋_GB2312" w:eastAsia="仿宋_GB2312"/>
          <w:bCs/>
          <w:color w:val="000000" w:themeColor="text1"/>
          <w:sz w:val="32"/>
          <w:szCs w:val="32"/>
          <w:highlight w:val="none"/>
        </w:rPr>
        <w:t>浓水和反冲洗废水、</w:t>
      </w:r>
      <w:r>
        <w:rPr>
          <w:rFonts w:hint="eastAsia" w:ascii="仿宋_GB2312" w:eastAsia="仿宋_GB2312"/>
          <w:bCs/>
          <w:color w:val="000000" w:themeColor="text1"/>
          <w:sz w:val="32"/>
          <w:szCs w:val="32"/>
          <w:highlight w:val="none"/>
          <w:lang w:eastAsia="zh-CN"/>
        </w:rPr>
        <w:t>实验前器皿清洗废水、</w:t>
      </w:r>
      <w:r>
        <w:rPr>
          <w:rFonts w:hint="eastAsia" w:ascii="仿宋_GB2312" w:eastAsia="仿宋_GB2312"/>
          <w:color w:val="000000" w:themeColor="text1"/>
          <w:sz w:val="32"/>
          <w:szCs w:val="32"/>
          <w:highlight w:val="none"/>
        </w:rPr>
        <w:t>生活污水</w:t>
      </w:r>
      <w:r>
        <w:rPr>
          <w:rFonts w:hint="eastAsia" w:ascii="仿宋_GB2312" w:eastAsia="仿宋_GB2312"/>
          <w:color w:val="000000" w:themeColor="text1"/>
          <w:sz w:val="32"/>
          <w:szCs w:val="32"/>
          <w:highlight w:val="none"/>
          <w:lang w:val="en-GB" w:eastAsia="zh-CN"/>
        </w:rPr>
        <w:t>一并</w:t>
      </w:r>
      <w:r>
        <w:rPr>
          <w:rFonts w:hint="eastAsia" w:ascii="仿宋_GB2312" w:eastAsia="仿宋_GB2312"/>
          <w:color w:val="000000" w:themeColor="text1"/>
          <w:sz w:val="32"/>
          <w:szCs w:val="32"/>
          <w:highlight w:val="none"/>
          <w:lang w:val="en-GB"/>
        </w:rPr>
        <w:t>排入</w:t>
      </w:r>
      <w:r>
        <w:rPr>
          <w:rFonts w:hint="eastAsia" w:ascii="仿宋_GB2312" w:eastAsia="仿宋_GB2312"/>
          <w:color w:val="000000" w:themeColor="text1"/>
          <w:sz w:val="32"/>
          <w:szCs w:val="32"/>
          <w:highlight w:val="none"/>
        </w:rPr>
        <w:t>市政集污管网，送</w:t>
      </w:r>
      <w:r>
        <w:rPr>
          <w:rFonts w:hint="eastAsia" w:ascii="仿宋_GB2312" w:eastAsia="仿宋_GB2312"/>
          <w:color w:val="000000" w:themeColor="text1"/>
          <w:sz w:val="32"/>
          <w:szCs w:val="32"/>
          <w:highlight w:val="none"/>
          <w:lang w:eastAsia="zh-CN"/>
        </w:rPr>
        <w:t>中部</w:t>
      </w:r>
      <w:r>
        <w:rPr>
          <w:rFonts w:hint="eastAsia" w:ascii="仿宋_GB2312" w:eastAsia="仿宋_GB2312"/>
          <w:color w:val="000000" w:themeColor="text1"/>
          <w:sz w:val="32"/>
          <w:szCs w:val="32"/>
          <w:highlight w:val="none"/>
        </w:rPr>
        <w:t>净水厂集中处理。项目设置</w:t>
      </w:r>
      <w:r>
        <w:rPr>
          <w:rFonts w:hint="eastAsia" w:ascii="仿宋_GB2312" w:eastAsia="仿宋_GB2312"/>
          <w:color w:val="000000" w:themeColor="text1"/>
          <w:sz w:val="32"/>
          <w:szCs w:val="32"/>
          <w:highlight w:val="none"/>
          <w:lang w:eastAsia="zh-CN"/>
        </w:rPr>
        <w:t>废水总</w:t>
      </w:r>
      <w:r>
        <w:rPr>
          <w:rFonts w:hint="eastAsia" w:ascii="仿宋_GB2312" w:eastAsia="仿宋_GB2312"/>
          <w:color w:val="000000" w:themeColor="text1"/>
          <w:sz w:val="32"/>
          <w:szCs w:val="32"/>
          <w:highlight w:val="none"/>
        </w:rPr>
        <w:t>排口1个。</w:t>
      </w:r>
    </w:p>
    <w:p>
      <w:pPr>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（二）项目应严格执行《挥发性有机物无组织排放控制标准》（GB37822-2019）的各项控制要求</w:t>
      </w:r>
      <w:r>
        <w:rPr>
          <w:rFonts w:hint="eastAsia" w:ascii="仿宋_GB2312" w:eastAsia="仿宋_GB2312"/>
          <w:color w:val="000000" w:themeColor="text1"/>
          <w:sz w:val="32"/>
          <w:szCs w:val="32"/>
          <w:lang w:eastAsia="zh-CN"/>
        </w:rPr>
        <w:t>。</w:t>
      </w:r>
      <w:r>
        <w:rPr>
          <w:rFonts w:hint="eastAsia" w:ascii="仿宋_GB2312" w:eastAsia="仿宋_GB2312"/>
          <w:bCs/>
          <w:color w:val="000000" w:themeColor="text1"/>
          <w:sz w:val="32"/>
          <w:szCs w:val="32"/>
        </w:rPr>
        <w:t>无机废气经碱液喷淋塔吸收</w:t>
      </w:r>
      <w:r>
        <w:rPr>
          <w:rFonts w:hint="eastAsia" w:ascii="仿宋_GB2312" w:eastAsia="仿宋_GB2312"/>
          <w:bCs/>
          <w:color w:val="000000" w:themeColor="text1"/>
          <w:sz w:val="32"/>
          <w:szCs w:val="32"/>
          <w:lang w:eastAsia="zh-CN"/>
        </w:rPr>
        <w:t>、</w:t>
      </w:r>
      <w:r>
        <w:rPr>
          <w:rFonts w:hint="eastAsia" w:ascii="仿宋_GB2312" w:eastAsia="仿宋_GB2312"/>
          <w:color w:val="000000" w:themeColor="text1"/>
          <w:sz w:val="32"/>
          <w:szCs w:val="32"/>
        </w:rPr>
        <w:t>有机废气经</w:t>
      </w:r>
      <w:r>
        <w:rPr>
          <w:rFonts w:hint="eastAsia" w:ascii="仿宋_GB2312" w:eastAsia="仿宋_GB2312"/>
          <w:bCs/>
          <w:color w:val="000000" w:themeColor="text1"/>
          <w:sz w:val="32"/>
          <w:szCs w:val="32"/>
        </w:rPr>
        <w:t>活性炭吸附装置处理后</w:t>
      </w:r>
      <w:r>
        <w:rPr>
          <w:rFonts w:hint="eastAsia" w:ascii="仿宋_GB2312" w:eastAsia="仿宋_GB2312"/>
          <w:bCs/>
          <w:color w:val="000000" w:themeColor="text1"/>
          <w:sz w:val="32"/>
          <w:szCs w:val="32"/>
          <w:lang w:eastAsia="zh-CN"/>
        </w:rPr>
        <w:t>，分别通过专用管道引至项目所在建筑物楼顶</w:t>
      </w:r>
      <w:r>
        <w:rPr>
          <w:rFonts w:hint="eastAsia" w:ascii="仿宋_GB2312" w:eastAsia="仿宋_GB2312"/>
          <w:bCs/>
          <w:color w:val="000000" w:themeColor="text1"/>
          <w:sz w:val="32"/>
          <w:szCs w:val="32"/>
        </w:rPr>
        <w:t>排放</w:t>
      </w:r>
      <w:r>
        <w:rPr>
          <w:rFonts w:hint="eastAsia" w:ascii="仿宋_GB2312" w:eastAsia="仿宋_GB2312"/>
          <w:bCs/>
          <w:color w:val="000000" w:themeColor="text1"/>
          <w:sz w:val="32"/>
          <w:szCs w:val="32"/>
          <w:lang w:eastAsia="zh-CN"/>
        </w:rPr>
        <w:t>，废气排放口高度不低于</w:t>
      </w:r>
      <w:r>
        <w:rPr>
          <w:rFonts w:hint="eastAsia" w:ascii="仿宋_GB2312" w:eastAsia="仿宋_GB2312"/>
          <w:bCs/>
          <w:color w:val="000000" w:themeColor="text1"/>
          <w:sz w:val="32"/>
          <w:szCs w:val="32"/>
          <w:lang w:val="en-US" w:eastAsia="zh-CN"/>
        </w:rPr>
        <w:t>15米</w:t>
      </w:r>
      <w:r>
        <w:rPr>
          <w:rFonts w:hint="eastAsia" w:ascii="仿宋_GB2312" w:eastAsia="仿宋_GB2312"/>
          <w:bCs/>
          <w:color w:val="000000" w:themeColor="text1"/>
          <w:sz w:val="32"/>
          <w:szCs w:val="32"/>
        </w:rPr>
        <w:t>。</w:t>
      </w:r>
      <w:r>
        <w:rPr>
          <w:rFonts w:hint="eastAsia" w:ascii="仿宋_GB2312" w:eastAsia="仿宋_GB2312"/>
          <w:color w:val="000000" w:themeColor="text1"/>
          <w:sz w:val="32"/>
          <w:szCs w:val="32"/>
        </w:rPr>
        <w:t>项目设置废气排放口</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w:t>
      </w:r>
      <w:r>
        <w:rPr>
          <w:rFonts w:hint="eastAsia" w:ascii="仿宋_GB2312" w:eastAsia="仿宋_GB2312"/>
          <w:color w:val="000000" w:themeColor="text1"/>
          <w:sz w:val="32"/>
          <w:szCs w:val="32"/>
          <w:lang w:eastAsia="zh-CN"/>
        </w:rPr>
        <w:t>实验固废、实验废液、废活性炭、絮凝污泥</w:t>
      </w:r>
      <w:r>
        <w:rPr>
          <w:rFonts w:hint="eastAsia" w:ascii="仿宋_GB2312" w:eastAsia="仿宋_GB2312"/>
          <w:color w:val="000000" w:themeColor="text1"/>
          <w:sz w:val="32"/>
          <w:szCs w:val="32"/>
        </w:rPr>
        <w:t>等</w:t>
      </w:r>
      <w:r>
        <w:rPr>
          <w:rFonts w:hint="eastAsia" w:ascii="仿宋_GB2312" w:eastAsia="仿宋_GB2312"/>
          <w:color w:val="000000" w:themeColor="text1"/>
          <w:sz w:val="32"/>
          <w:szCs w:val="32"/>
          <w:lang w:eastAsia="zh-CN"/>
        </w:rPr>
        <w:t>属于</w:t>
      </w:r>
      <w:r>
        <w:rPr>
          <w:rFonts w:hint="eastAsia" w:ascii="仿宋_GB2312" w:eastAsia="仿宋_GB2312"/>
          <w:color w:val="000000" w:themeColor="text1"/>
          <w:sz w:val="32"/>
          <w:szCs w:val="32"/>
        </w:rPr>
        <w:t>危险废物</w:t>
      </w:r>
      <w:r>
        <w:rPr>
          <w:rFonts w:hint="eastAsia" w:ascii="仿宋_GB2312" w:eastAsia="仿宋_GB2312"/>
          <w:color w:val="000000" w:themeColor="text1"/>
          <w:sz w:val="32"/>
          <w:szCs w:val="32"/>
          <w:lang w:eastAsia="zh-CN"/>
        </w:rPr>
        <w:t>的</w:t>
      </w:r>
      <w:r>
        <w:rPr>
          <w:rFonts w:hint="eastAsia" w:ascii="仿宋_GB2312" w:eastAsia="仿宋_GB2312"/>
          <w:color w:val="000000" w:themeColor="text1"/>
          <w:sz w:val="32"/>
          <w:szCs w:val="32"/>
        </w:rPr>
        <w:t>须设置符合《危险废物贮存污染控制标准》（GB18597-2001）要求的专用贮存场所存放并委托具备危险废物处理资质的机构处理。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五、自《报告表》批准之日起超过五年，方决定该项目开工建设的，《报告表》应当在开工建设前报我局重新审核。未经我局重新审核同意的，不得擅自开工建设。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六、该项目建设应严格执行配套建设的环境保护设施与主体工程同时设计、同时施工、同时投产使用的环境保护“三同时”制度，具体要求如下：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（一）项目竣工后，建设单位应当按照国务院生态环境行政主管部门规定的标准和程序</w:t>
      </w:r>
      <w:r>
        <w:rPr>
          <w:rFonts w:hint="eastAsia" w:ascii="仿宋_GB2312" w:eastAsia="仿宋_GB2312"/>
          <w:color w:val="000000" w:themeColor="text1"/>
          <w:sz w:val="32"/>
          <w:szCs w:val="32"/>
          <w:lang w:eastAsia="zh-CN"/>
        </w:rPr>
        <w:t>、时限</w:t>
      </w:r>
      <w:r>
        <w:rPr>
          <w:rFonts w:hint="eastAsia" w:ascii="仿宋_GB2312" w:eastAsia="仿宋_GB2312"/>
          <w:color w:val="000000" w:themeColor="text1"/>
          <w:sz w:val="32"/>
          <w:szCs w:val="32"/>
        </w:rPr>
        <w:t>，对配套建设的环境保护设施进行验收，编制验收报告，依法向社会公开。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七、该项目建设和运行过程中如涉及规划、土地利用、建设、水务、消防、安全等问题，应遵照相关法律法规要求到相应的行政主管部门办理有关手续。</w:t>
      </w:r>
    </w:p>
    <w:p>
      <w:pPr>
        <w:pStyle w:val="20"/>
        <w:ind w:firstLine="636"/>
        <w:rPr>
          <w:rFonts w:hint="eastAsia" w:eastAsia="仿宋_GB2312"/>
          <w:color w:val="000000" w:themeColor="text1"/>
          <w:sz w:val="32"/>
          <w:szCs w:val="32"/>
        </w:rPr>
      </w:pPr>
      <w:r>
        <w:rPr>
          <w:rFonts w:hint="eastAsia" w:ascii="仿宋_GB2312" w:eastAsia="仿宋_GB2312"/>
          <w:color w:val="000000" w:themeColor="text1"/>
          <w:sz w:val="32"/>
          <w:szCs w:val="32"/>
        </w:rPr>
        <w:t>八、</w:t>
      </w:r>
      <w:r>
        <w:rPr>
          <w:rFonts w:hint="eastAsia" w:ascii="仿宋_GB2312" w:hAnsi="仿宋" w:eastAsia="仿宋_GB2312"/>
          <w:color w:val="000000" w:themeColor="text1"/>
          <w:sz w:val="32"/>
        </w:rPr>
        <w:t>如不服本行政许可决定，你单位可在接到本行政许可决定之日起60日内向</w:t>
      </w:r>
      <w:r>
        <w:rPr>
          <w:rFonts w:hint="eastAsia" w:ascii="仿宋_GB2312" w:eastAsia="仿宋_GB2312"/>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pPr>
        <w:pStyle w:val="20"/>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000000" w:themeColor="text1"/>
          <w:sz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pPr>
        <w:keepNext w:val="0"/>
        <w:keepLines w:val="0"/>
        <w:pageBreakBefore w:val="0"/>
        <w:kinsoku/>
        <w:overflowPunct/>
        <w:topLinePunct w:val="0"/>
        <w:autoSpaceDE/>
        <w:autoSpaceDN/>
        <w:bidi w:val="0"/>
        <w:spacing w:line="560" w:lineRule="exact"/>
        <w:ind w:firstLine="5440" w:firstLineChars="17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7</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16</w:t>
      </w:r>
      <w:r>
        <w:rPr>
          <w:rFonts w:hint="eastAsia" w:ascii="仿宋_GB2312" w:eastAsia="仿宋_GB2312"/>
          <w:color w:val="000000" w:themeColor="text1"/>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抄送：广州市生态环境局番禺分局执法大队、第</w:t>
      </w:r>
      <w:r>
        <w:rPr>
          <w:rFonts w:hint="eastAsia" w:ascii="仿宋_GB2312" w:eastAsia="仿宋_GB2312"/>
          <w:color w:val="000000" w:themeColor="text1"/>
          <w:sz w:val="28"/>
          <w:szCs w:val="28"/>
          <w:lang w:eastAsia="zh-CN"/>
        </w:rPr>
        <w:t>三</w:t>
      </w:r>
      <w:r>
        <w:rPr>
          <w:rFonts w:hint="eastAsia" w:ascii="仿宋_GB2312" w:eastAsia="仿宋_GB2312"/>
          <w:color w:val="000000" w:themeColor="text1"/>
          <w:sz w:val="28"/>
          <w:szCs w:val="28"/>
        </w:rPr>
        <w:t>环境保护所，</w:t>
      </w:r>
      <w:r>
        <w:rPr>
          <w:rFonts w:hint="eastAsia" w:ascii="仿宋_GB2312" w:eastAsia="仿宋_GB2312"/>
          <w:color w:val="000000" w:themeColor="text1"/>
          <w:sz w:val="28"/>
          <w:szCs w:val="28"/>
          <w:lang w:eastAsia="zh-CN"/>
        </w:rPr>
        <w:t>广州颐景环保科技有限公司</w:t>
      </w:r>
      <w:r>
        <w:rPr>
          <w:rFonts w:hint="eastAsia" w:ascii="仿宋_GB2312" w:eastAsia="仿宋_GB2312"/>
          <w:color w:val="000000" w:themeColor="text1"/>
          <w:sz w:val="28"/>
          <w:szCs w:val="28"/>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1"/>
        <w:rFonts w:ascii="宋体" w:hAnsi="宋体"/>
        <w:sz w:val="28"/>
        <w:szCs w:val="28"/>
      </w:rPr>
    </w:pPr>
    <w:r>
      <w:rPr>
        <w:rStyle w:val="11"/>
        <w:rFonts w:hint="eastAsia" w:ascii="宋体" w:hAnsi="宋体"/>
        <w:sz w:val="28"/>
        <w:szCs w:val="28"/>
      </w:rPr>
      <w:t xml:space="preserve">— </w:t>
    </w: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3</w:t>
    </w:r>
    <w:r>
      <w:rPr>
        <w:rStyle w:val="11"/>
        <w:rFonts w:ascii="宋体" w:hAnsi="宋体"/>
        <w:sz w:val="28"/>
        <w:szCs w:val="28"/>
      </w:rPr>
      <w:fldChar w:fldCharType="end"/>
    </w:r>
    <w:r>
      <w:rPr>
        <w:rStyle w:val="11"/>
        <w:rFonts w:hint="eastAsia" w:ascii="宋体" w:hAnsi="宋体"/>
        <w:sz w:val="28"/>
        <w:szCs w:val="28"/>
      </w:rPr>
      <w:t xml:space="preserve"> —</w:t>
    </w:r>
  </w:p>
  <w:p>
    <w:pPr>
      <w:pStyle w:val="6"/>
      <w:ind w:right="360" w:firstLine="360"/>
      <w:jc w:val="center"/>
      <w:rPr>
        <w:rFonts w:ascii="Times New Roman" w:hAnsi="Times New Roman"/>
        <w:sz w:val="28"/>
        <w:szCs w:val="28"/>
      </w:rPr>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44E74E6"/>
    <w:rsid w:val="080A1344"/>
    <w:rsid w:val="09307D02"/>
    <w:rsid w:val="10BF38FB"/>
    <w:rsid w:val="123E541D"/>
    <w:rsid w:val="12737E91"/>
    <w:rsid w:val="12DA5DA1"/>
    <w:rsid w:val="18B85F8E"/>
    <w:rsid w:val="19AD1804"/>
    <w:rsid w:val="1FC86C43"/>
    <w:rsid w:val="202477A6"/>
    <w:rsid w:val="20CF4E76"/>
    <w:rsid w:val="22693DF4"/>
    <w:rsid w:val="229D4287"/>
    <w:rsid w:val="23462BF1"/>
    <w:rsid w:val="2A0F6732"/>
    <w:rsid w:val="307C5365"/>
    <w:rsid w:val="30A22B85"/>
    <w:rsid w:val="38DD4A90"/>
    <w:rsid w:val="38EB77CC"/>
    <w:rsid w:val="3AE822E0"/>
    <w:rsid w:val="3CC7607D"/>
    <w:rsid w:val="41171C7F"/>
    <w:rsid w:val="4AE22D88"/>
    <w:rsid w:val="4EB11A7C"/>
    <w:rsid w:val="4F586ABA"/>
    <w:rsid w:val="4F9C166D"/>
    <w:rsid w:val="58272CFA"/>
    <w:rsid w:val="59F57B8E"/>
    <w:rsid w:val="5F431B43"/>
    <w:rsid w:val="61C92BD6"/>
    <w:rsid w:val="62973EAF"/>
    <w:rsid w:val="670A7A3E"/>
    <w:rsid w:val="6B2F71CC"/>
    <w:rsid w:val="73417714"/>
    <w:rsid w:val="75A75D8D"/>
    <w:rsid w:val="77A53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napToGrid w:val="0"/>
      <w:spacing w:before="60" w:after="160" w:line="259" w:lineRule="auto"/>
      <w:ind w:right="113"/>
    </w:pPr>
    <w:rPr>
      <w:kern w:val="0"/>
      <w:sz w:val="18"/>
      <w:szCs w:val="20"/>
    </w:rPr>
  </w:style>
  <w:style w:type="paragraph" w:styleId="4">
    <w:name w:val="annotation text"/>
    <w:basedOn w:val="1"/>
    <w:link w:val="16"/>
    <w:semiHidden/>
    <w:unhideWhenUsed/>
    <w:qFormat/>
    <w:uiPriority w:val="99"/>
    <w:pPr>
      <w:jc w:val="left"/>
    </w:pPr>
  </w:style>
  <w:style w:type="paragraph" w:styleId="5">
    <w:name w:val="Balloon Text"/>
    <w:basedOn w:val="1"/>
    <w:link w:val="18"/>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7"/>
    <w:semiHidden/>
    <w:unhideWhenUsed/>
    <w:qFormat/>
    <w:uiPriority w:val="99"/>
    <w:rPr>
      <w:b/>
      <w:bCs/>
    </w:rPr>
  </w:style>
  <w:style w:type="character" w:styleId="11">
    <w:name w:val="page number"/>
    <w:basedOn w:val="10"/>
    <w:qFormat/>
    <w:uiPriority w:val="0"/>
  </w:style>
  <w:style w:type="character" w:styleId="12">
    <w:name w:val="annotation reference"/>
    <w:basedOn w:val="10"/>
    <w:semiHidden/>
    <w:unhideWhenUsed/>
    <w:qFormat/>
    <w:uiPriority w:val="99"/>
    <w:rPr>
      <w:sz w:val="21"/>
      <w:szCs w:val="21"/>
    </w:rPr>
  </w:style>
  <w:style w:type="character" w:customStyle="1" w:styleId="13">
    <w:name w:val="页眉 Char"/>
    <w:basedOn w:val="10"/>
    <w:link w:val="7"/>
    <w:semiHidden/>
    <w:qFormat/>
    <w:uiPriority w:val="99"/>
    <w:rPr>
      <w:kern w:val="2"/>
      <w:sz w:val="18"/>
      <w:szCs w:val="18"/>
    </w:rPr>
  </w:style>
  <w:style w:type="character" w:customStyle="1" w:styleId="14">
    <w:name w:val="页脚 Char"/>
    <w:basedOn w:val="10"/>
    <w:link w:val="6"/>
    <w:qFormat/>
    <w:uiPriority w:val="99"/>
    <w:rPr>
      <w:kern w:val="2"/>
      <w:sz w:val="18"/>
      <w:szCs w:val="18"/>
    </w:rPr>
  </w:style>
  <w:style w:type="paragraph" w:customStyle="1" w:styleId="15">
    <w:name w:val="Char1"/>
    <w:basedOn w:val="1"/>
    <w:qFormat/>
    <w:uiPriority w:val="0"/>
    <w:pPr>
      <w:tabs>
        <w:tab w:val="left" w:pos="840"/>
      </w:tabs>
      <w:ind w:left="840" w:hanging="420"/>
    </w:pPr>
    <w:rPr>
      <w:rFonts w:ascii="Times New Roman" w:hAnsi="Times New Roman"/>
      <w:sz w:val="24"/>
      <w:szCs w:val="24"/>
    </w:rPr>
  </w:style>
  <w:style w:type="character" w:customStyle="1" w:styleId="16">
    <w:name w:val="批注文字 Char"/>
    <w:basedOn w:val="10"/>
    <w:link w:val="4"/>
    <w:semiHidden/>
    <w:qFormat/>
    <w:uiPriority w:val="99"/>
    <w:rPr>
      <w:kern w:val="2"/>
      <w:sz w:val="21"/>
      <w:szCs w:val="22"/>
    </w:rPr>
  </w:style>
  <w:style w:type="character" w:customStyle="1" w:styleId="17">
    <w:name w:val="批注主题 Char"/>
    <w:basedOn w:val="16"/>
    <w:link w:val="8"/>
    <w:semiHidden/>
    <w:qFormat/>
    <w:uiPriority w:val="99"/>
    <w:rPr>
      <w:b/>
      <w:bCs/>
    </w:rPr>
  </w:style>
  <w:style w:type="character" w:customStyle="1" w:styleId="18">
    <w:name w:val="批注框文本 Char"/>
    <w:basedOn w:val="10"/>
    <w:link w:val="5"/>
    <w:semiHidden/>
    <w:qFormat/>
    <w:uiPriority w:val="99"/>
    <w:rPr>
      <w:kern w:val="2"/>
      <w:sz w:val="18"/>
      <w:szCs w:val="18"/>
    </w:rPr>
  </w:style>
  <w:style w:type="paragraph" w:customStyle="1" w:styleId="19">
    <w:name w:val="Revision"/>
    <w:hidden/>
    <w:semiHidden/>
    <w:qFormat/>
    <w:uiPriority w:val="99"/>
    <w:rPr>
      <w:rFonts w:ascii="Calibri" w:hAnsi="Calibri" w:eastAsia="宋体" w:cs="Times New Roman"/>
      <w:kern w:val="2"/>
      <w:sz w:val="21"/>
      <w:szCs w:val="22"/>
      <w:lang w:val="en-US" w:eastAsia="zh-CN" w:bidi="ar-SA"/>
    </w:rPr>
  </w:style>
  <w:style w:type="paragraph" w:customStyle="1" w:styleId="20">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6</Pages>
  <Words>414</Words>
  <Characters>2364</Characters>
  <Lines>19</Lines>
  <Paragraphs>5</Paragraphs>
  <TotalTime>21</TotalTime>
  <ScaleCrop>false</ScaleCrop>
  <LinksUpToDate>false</LinksUpToDate>
  <CharactersWithSpaces>2773</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2021-06-29T06:59:00Z</cp:lastPrinted>
  <dcterms:modified xsi:type="dcterms:W3CDTF">2021-07-19T01:48:08Z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2052-11.1.0.10379</vt:lpwstr>
  </property>
  <property fmtid="{D5CDD505-2E9C-101B-9397-08002B2CF9AE}" pid="4" name="ICV">
    <vt:lpwstr>7B1C4AD2043649D185BF4A2F74748C72</vt:lpwstr>
  </property>
</Properties>
</file>