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rPr>
      </w:pPr>
      <w:r>
        <w:rPr>
          <w:rFonts w:hint="eastAsia" w:ascii="仿宋_GB2312"/>
          <w:color w:val="000000" w:themeColor="text1"/>
        </w:rPr>
        <w:t xml:space="preserve">                                       </w:t>
      </w:r>
      <w:r>
        <w:rPr>
          <w:rFonts w:hint="eastAsia" w:ascii="仿宋_GB2312" w:eastAsia="仿宋_GB2312"/>
          <w:color w:val="000000" w:themeColor="text1"/>
          <w:sz w:val="32"/>
          <w:szCs w:val="32"/>
        </w:rPr>
        <w:t>穗（番）环管影〔20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115</w:t>
      </w:r>
      <w:r>
        <w:rPr>
          <w:rFonts w:hint="eastAsia" w:ascii="仿宋_GB2312" w:eastAsia="仿宋_GB2312"/>
          <w:color w:val="000000" w:themeColor="text1"/>
          <w:sz w:val="32"/>
          <w:szCs w:val="32"/>
        </w:rPr>
        <w:t>号</w:t>
      </w:r>
    </w:p>
    <w:p>
      <w:pPr>
        <w:keepNext w:val="0"/>
        <w:keepLines w:val="0"/>
        <w:pageBreakBefore w:val="0"/>
        <w:kinsoku/>
        <w:overflowPunct/>
        <w:topLinePunct w:val="0"/>
        <w:autoSpaceDE/>
        <w:autoSpaceDN/>
        <w:bidi w:val="0"/>
        <w:spacing w:line="560" w:lineRule="exact"/>
        <w:textAlignment w:val="auto"/>
        <w:rPr>
          <w:rFonts w:ascii="黑体" w:eastAsia="黑体"/>
          <w:color w:val="000000" w:themeColor="text1"/>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rPr>
      </w:pP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广州市生态环境局关于广州市敬昌塑料制品</w:t>
      </w: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有限公司年产塑料零件制品546吨建设项目</w:t>
      </w:r>
    </w:p>
    <w:p>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环境影响报告表的批复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广州市敬昌塑料制品有限公司（</w:t>
      </w:r>
      <w:r>
        <w:rPr>
          <w:rFonts w:hint="eastAsia" w:ascii="仿宋_GB2312" w:eastAsia="仿宋_GB2312"/>
          <w:bCs/>
          <w:color w:val="000000" w:themeColor="text1"/>
          <w:sz w:val="32"/>
          <w:szCs w:val="32"/>
        </w:rPr>
        <w:t>91440</w:t>
      </w:r>
      <w:r>
        <w:rPr>
          <w:rFonts w:hint="eastAsia" w:ascii="仿宋_GB2312" w:eastAsia="仿宋_GB2312"/>
          <w:bCs/>
          <w:color w:val="000000" w:themeColor="text1"/>
          <w:sz w:val="32"/>
          <w:szCs w:val="32"/>
          <w:lang w:val="en-US" w:eastAsia="zh-CN"/>
        </w:rPr>
        <w:t>101304314738D</w:t>
      </w:r>
      <w:r>
        <w:rPr>
          <w:rFonts w:hint="eastAsia" w:ascii="仿宋_GB2312" w:eastAsia="仿宋_GB2312"/>
          <w:color w:val="000000" w:themeColor="text1"/>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你单位报送的《广州市敬昌塑料制品有限公司年产塑料零件制品546吨建设项目环境影响报告表》（以下简称“《报告表》”）及附送资料收悉。经研究，现批复如下：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一、广州市敬昌塑料制品有限公司年产塑料零件制品546吨建设项目（以下简称“该项目”）位于广州市番禺区沙湾镇动车街40号，申报内容为</w:t>
      </w:r>
      <w:r>
        <w:rPr>
          <w:rFonts w:hint="eastAsia" w:ascii="仿宋_GB2312" w:eastAsia="仿宋_GB2312"/>
          <w:color w:val="000000" w:themeColor="text1"/>
          <w:sz w:val="32"/>
          <w:szCs w:val="32"/>
          <w:lang w:eastAsia="zh-CN"/>
        </w:rPr>
        <w:t>主要从事塑料零件制品生产，年产塑料玩具零件</w:t>
      </w:r>
      <w:r>
        <w:rPr>
          <w:rFonts w:hint="eastAsia" w:ascii="仿宋_GB2312" w:eastAsia="仿宋_GB2312"/>
          <w:color w:val="000000" w:themeColor="text1"/>
          <w:sz w:val="32"/>
          <w:szCs w:val="32"/>
          <w:lang w:val="en-US" w:eastAsia="zh-CN"/>
        </w:rPr>
        <w:t>100吨、电视机塑料外壳300吨、塑料零散制品146吨</w:t>
      </w:r>
      <w:r>
        <w:rPr>
          <w:rFonts w:hint="eastAsia" w:ascii="仿宋_GB2312" w:eastAsia="仿宋_GB2312"/>
          <w:color w:val="000000" w:themeColor="text1"/>
          <w:sz w:val="32"/>
          <w:szCs w:val="32"/>
        </w:rPr>
        <w:t>。该项目占地面积</w:t>
      </w:r>
      <w:r>
        <w:rPr>
          <w:rFonts w:hint="eastAsia" w:ascii="仿宋_GB2312" w:eastAsia="仿宋_GB2312"/>
          <w:color w:val="000000" w:themeColor="text1"/>
          <w:sz w:val="32"/>
          <w:szCs w:val="32"/>
          <w:lang w:val="en-US" w:eastAsia="zh-CN"/>
        </w:rPr>
        <w:t>6251.5</w:t>
      </w:r>
      <w:r>
        <w:rPr>
          <w:rFonts w:hint="eastAsia" w:ascii="仿宋_GB2312" w:eastAsia="仿宋_GB2312"/>
          <w:color w:val="000000" w:themeColor="text1"/>
          <w:sz w:val="32"/>
          <w:szCs w:val="32"/>
        </w:rPr>
        <w:t>平方米，总建筑面积</w:t>
      </w:r>
      <w:r>
        <w:rPr>
          <w:rFonts w:hint="eastAsia" w:ascii="仿宋_GB2312" w:eastAsia="仿宋_GB2312"/>
          <w:color w:val="000000" w:themeColor="text1"/>
          <w:sz w:val="32"/>
          <w:szCs w:val="32"/>
          <w:lang w:val="en-US" w:eastAsia="zh-CN"/>
        </w:rPr>
        <w:t>5798</w:t>
      </w:r>
      <w:r>
        <w:rPr>
          <w:rFonts w:hint="eastAsia" w:ascii="仿宋_GB2312" w:eastAsia="仿宋_GB2312"/>
          <w:color w:val="000000" w:themeColor="text1"/>
          <w:sz w:val="32"/>
          <w:szCs w:val="32"/>
        </w:rPr>
        <w:t>平方米，主要建筑物有</w:t>
      </w:r>
      <w:r>
        <w:rPr>
          <w:rFonts w:hint="eastAsia" w:ascii="仿宋_GB2312" w:eastAsia="仿宋_GB2312"/>
          <w:color w:val="000000" w:themeColor="text1"/>
          <w:sz w:val="32"/>
          <w:szCs w:val="32"/>
          <w:lang w:val="en-US" w:eastAsia="zh-CN"/>
        </w:rPr>
        <w:t>1栋单层生产车间、1栋四层办公及宿舍楼、1个仓库、1个变压房</w:t>
      </w:r>
      <w:r>
        <w:rPr>
          <w:rFonts w:hint="eastAsia" w:ascii="仿宋_GB2312" w:eastAsia="仿宋_GB2312"/>
          <w:color w:val="000000" w:themeColor="text1"/>
          <w:sz w:val="32"/>
          <w:szCs w:val="32"/>
        </w:rPr>
        <w:t>；主要设备有</w:t>
      </w:r>
      <w:r>
        <w:rPr>
          <w:rFonts w:hint="eastAsia" w:ascii="仿宋_GB2312" w:eastAsia="仿宋_GB2312"/>
          <w:color w:val="000000" w:themeColor="text1"/>
          <w:sz w:val="32"/>
          <w:szCs w:val="32"/>
          <w:lang w:val="en-US" w:eastAsia="zh-CN"/>
        </w:rPr>
        <w:t>注塑机21台、拌料机3台、碎料机3台、冷却塔2台、铣床4台、钻床2台、火花机2台、空压机2台等</w:t>
      </w:r>
      <w:r>
        <w:rPr>
          <w:rFonts w:hint="eastAsia" w:ascii="仿宋_GB2312" w:eastAsia="仿宋_GB2312"/>
          <w:color w:val="000000" w:themeColor="text1"/>
          <w:sz w:val="32"/>
          <w:szCs w:val="32"/>
        </w:rPr>
        <w:t>；员工</w:t>
      </w:r>
      <w:r>
        <w:rPr>
          <w:rFonts w:hint="eastAsia" w:ascii="仿宋_GB2312" w:eastAsia="仿宋_GB2312"/>
          <w:color w:val="000000" w:themeColor="text1"/>
          <w:sz w:val="32"/>
          <w:szCs w:val="32"/>
          <w:lang w:val="en-US" w:eastAsia="zh-CN"/>
        </w:rPr>
        <w:t>23</w:t>
      </w:r>
      <w:r>
        <w:rPr>
          <w:rFonts w:hint="eastAsia" w:ascii="仿宋_GB2312" w:eastAsia="仿宋_GB2312"/>
          <w:color w:val="000000" w:themeColor="text1"/>
          <w:sz w:val="32"/>
          <w:szCs w:val="32"/>
        </w:rPr>
        <w:t>名，内部不</w:t>
      </w:r>
      <w:r>
        <w:rPr>
          <w:rFonts w:hint="eastAsia" w:ascii="仿宋_GB2312" w:eastAsia="仿宋_GB2312"/>
          <w:color w:val="000000" w:themeColor="text1"/>
          <w:sz w:val="32"/>
          <w:szCs w:val="32"/>
          <w:lang w:eastAsia="zh-CN"/>
        </w:rPr>
        <w:t>设食堂，设有住</w:t>
      </w:r>
      <w:r>
        <w:rPr>
          <w:rFonts w:hint="eastAsia" w:ascii="仿宋_GB2312" w:eastAsia="仿宋_GB2312"/>
          <w:color w:val="000000" w:themeColor="text1"/>
          <w:sz w:val="32"/>
          <w:szCs w:val="32"/>
        </w:rPr>
        <w:t>宿。该项目不使用再生塑料作为原料。</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二、该项目各类污染物排放控制要求如下：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w:t>
      </w:r>
      <w:r>
        <w:rPr>
          <w:rFonts w:hint="eastAsia" w:ascii="仿宋_GB2312" w:eastAsia="仿宋_GB2312"/>
          <w:color w:val="000000" w:themeColor="text1"/>
          <w:sz w:val="32"/>
          <w:szCs w:val="32"/>
          <w:lang w:eastAsia="zh-CN"/>
        </w:rPr>
        <w:t>水污染物</w:t>
      </w:r>
      <w:r>
        <w:rPr>
          <w:rFonts w:hint="eastAsia" w:ascii="仿宋_GB2312" w:eastAsia="仿宋_GB2312"/>
          <w:color w:val="000000" w:themeColor="text1"/>
          <w:sz w:val="32"/>
          <w:szCs w:val="32"/>
        </w:rPr>
        <w:t>排放执行广东省《水污染物排放限值》（DB44/26-2001）第二时段三级标准。生活污水排放量不超过</w:t>
      </w:r>
      <w:r>
        <w:rPr>
          <w:rFonts w:hint="eastAsia" w:ascii="仿宋_GB2312" w:eastAsia="仿宋_GB2312"/>
          <w:color w:val="000000" w:themeColor="text1"/>
          <w:sz w:val="32"/>
          <w:szCs w:val="32"/>
          <w:lang w:val="en-US" w:eastAsia="zh-CN"/>
        </w:rPr>
        <w:t>877</w:t>
      </w:r>
      <w:r>
        <w:rPr>
          <w:rFonts w:hint="eastAsia" w:ascii="仿宋_GB2312" w:eastAsia="仿宋_GB2312"/>
          <w:color w:val="000000" w:themeColor="text1"/>
          <w:sz w:val="32"/>
          <w:szCs w:val="32"/>
        </w:rPr>
        <w:t>吨/年。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highlight w:val="none"/>
          <w:lang w:eastAsia="zh-CN"/>
        </w:rPr>
      </w:pPr>
      <w:r>
        <w:rPr>
          <w:rFonts w:hint="eastAsia" w:ascii="仿宋_GB2312" w:eastAsia="仿宋_GB2312"/>
          <w:color w:val="000000" w:themeColor="text1"/>
          <w:sz w:val="32"/>
          <w:szCs w:val="32"/>
        </w:rPr>
        <w:t>（二）</w:t>
      </w:r>
      <w:r>
        <w:rPr>
          <w:rFonts w:hint="eastAsia" w:ascii="仿宋_GB2312" w:eastAsia="仿宋_GB2312"/>
          <w:color w:val="000000" w:themeColor="text1"/>
          <w:sz w:val="32"/>
          <w:szCs w:val="32"/>
          <w:lang w:eastAsia="zh-CN"/>
        </w:rPr>
        <w:t>大气污染物</w:t>
      </w:r>
      <w:r>
        <w:rPr>
          <w:rFonts w:hint="eastAsia" w:ascii="仿宋_GB2312" w:eastAsia="仿宋_GB2312"/>
          <w:color w:val="000000" w:themeColor="text1"/>
          <w:sz w:val="32"/>
          <w:szCs w:val="32"/>
          <w:highlight w:val="none"/>
          <w:lang w:eastAsia="zh-CN"/>
        </w:rPr>
        <w:t>排放执行《合成树脂工业污染物排放标准》（GB31572-2015）、广东省《大气污染物排放限值》（DB44/27-2001）和</w:t>
      </w:r>
      <w:r>
        <w:rPr>
          <w:rFonts w:hint="eastAsia" w:ascii="仿宋_GB2312" w:eastAsia="仿宋_GB2312"/>
          <w:color w:val="000000" w:themeColor="text1"/>
          <w:sz w:val="32"/>
          <w:szCs w:val="32"/>
          <w:highlight w:val="none"/>
        </w:rPr>
        <w:t>《恶臭污染物排放标准》（GB14554-93）</w:t>
      </w:r>
      <w:r>
        <w:rPr>
          <w:rFonts w:hint="eastAsia" w:ascii="仿宋_GB2312" w:eastAsia="仿宋_GB2312"/>
          <w:color w:val="000000" w:themeColor="text1"/>
          <w:sz w:val="32"/>
          <w:szCs w:val="32"/>
          <w:highlight w:val="none"/>
          <w:lang w:eastAsia="zh-CN"/>
        </w:rPr>
        <w:t>中的较严值。</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（三）边界噪声排放执行《工业企业厂界环境噪声排放标准》（GB12348-2008）3类区限值，即：昼间≤65</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，夜间≤55</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三、该项目应当认真落实《报告表》提出的各项环境保护措施，重点做好以下工作：</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（一）项目排水系统采用雨污分流。冷却水循环使用，不外排</w:t>
      </w:r>
      <w:r>
        <w:rPr>
          <w:rFonts w:hint="eastAsia" w:ascii="仿宋_GB2312" w:hAnsi="仿宋_GB2312" w:eastAsia="仿宋_GB2312" w:cs="仿宋_GB2312"/>
          <w:color w:val="000000" w:themeColor="text1"/>
          <w:sz w:val="32"/>
          <w:szCs w:val="32"/>
        </w:rPr>
        <w:t>；</w:t>
      </w:r>
      <w:r>
        <w:rPr>
          <w:rFonts w:hint="eastAsia" w:ascii="仿宋_GB2312" w:eastAsia="仿宋_GB2312"/>
          <w:color w:val="000000" w:themeColor="text1"/>
          <w:sz w:val="32"/>
          <w:szCs w:val="32"/>
        </w:rPr>
        <w:t>生活污水排入市政集污管网，送</w:t>
      </w:r>
      <w:r>
        <w:rPr>
          <w:rFonts w:hint="eastAsia" w:ascii="仿宋_GB2312" w:eastAsia="仿宋_GB2312"/>
          <w:color w:val="000000" w:themeColor="text1"/>
          <w:sz w:val="32"/>
          <w:szCs w:val="32"/>
          <w:lang w:eastAsia="zh-CN"/>
        </w:rPr>
        <w:t>前锋</w:t>
      </w:r>
      <w:r>
        <w:rPr>
          <w:rFonts w:hint="eastAsia" w:ascii="仿宋_GB2312" w:eastAsia="仿宋_GB2312"/>
          <w:color w:val="000000" w:themeColor="text1"/>
          <w:sz w:val="32"/>
          <w:szCs w:val="32"/>
        </w:rPr>
        <w:t>净水厂</w:t>
      </w:r>
      <w:r>
        <w:rPr>
          <w:rFonts w:hint="eastAsia" w:ascii="仿宋_GB2312" w:eastAsia="仿宋_GB2312"/>
          <w:color w:val="000000" w:themeColor="text1"/>
          <w:sz w:val="32"/>
          <w:szCs w:val="32"/>
          <w:lang w:eastAsia="zh-CN"/>
        </w:rPr>
        <w:t>集中</w:t>
      </w:r>
      <w:r>
        <w:rPr>
          <w:rFonts w:hint="eastAsia" w:ascii="仿宋_GB2312" w:eastAsia="仿宋_GB2312"/>
          <w:color w:val="000000" w:themeColor="text1"/>
          <w:sz w:val="32"/>
          <w:szCs w:val="32"/>
        </w:rPr>
        <w:t>处理。项目设置</w:t>
      </w:r>
      <w:r>
        <w:rPr>
          <w:rFonts w:hint="eastAsia" w:ascii="仿宋_GB2312" w:eastAsia="仿宋_GB2312"/>
          <w:color w:val="000000" w:themeColor="text1"/>
          <w:sz w:val="32"/>
          <w:szCs w:val="32"/>
          <w:lang w:eastAsia="zh-CN"/>
        </w:rPr>
        <w:t>生活污</w:t>
      </w:r>
      <w:r>
        <w:rPr>
          <w:rFonts w:hint="eastAsia" w:ascii="仿宋_GB2312" w:eastAsia="仿宋_GB2312"/>
          <w:color w:val="000000" w:themeColor="text1"/>
          <w:sz w:val="32"/>
          <w:szCs w:val="32"/>
        </w:rPr>
        <w:t>水排放口</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（二）项目应严格执行《挥发性有机物无组织排放控制标准》（GB37822-2019）的各项控制要求</w:t>
      </w:r>
      <w:r>
        <w:rPr>
          <w:rFonts w:hint="eastAsia" w:ascii="仿宋_GB2312" w:eastAsia="仿宋_GB2312"/>
          <w:color w:val="000000" w:themeColor="text1"/>
          <w:sz w:val="32"/>
          <w:szCs w:val="32"/>
          <w:lang w:eastAsia="zh-CN"/>
        </w:rPr>
        <w:t>。注塑工序产生的有机废气经收集至“二级活性炭吸附装置”处理后通过专用管道高空排放，排放口高度不低于</w:t>
      </w:r>
      <w:r>
        <w:rPr>
          <w:rFonts w:hint="eastAsia" w:ascii="仿宋_GB2312" w:eastAsia="仿宋_GB2312"/>
          <w:color w:val="000000" w:themeColor="text1"/>
          <w:sz w:val="32"/>
          <w:szCs w:val="32"/>
          <w:lang w:val="en-US" w:eastAsia="zh-CN"/>
        </w:rPr>
        <w:t>15米。</w:t>
      </w:r>
      <w:r>
        <w:rPr>
          <w:rFonts w:hint="eastAsia" w:ascii="仿宋_GB2312" w:eastAsia="仿宋_GB2312"/>
          <w:color w:val="000000" w:themeColor="text1"/>
          <w:sz w:val="32"/>
          <w:szCs w:val="32"/>
          <w:lang w:eastAsia="zh-CN"/>
        </w:rPr>
        <w:t>项目设置废气排放口</w:t>
      </w:r>
      <w:r>
        <w:rPr>
          <w:rFonts w:hint="eastAsia" w:ascii="仿宋_GB2312" w:eastAsia="仿宋_GB2312"/>
          <w:color w:val="000000" w:themeColor="text1"/>
          <w:sz w:val="32"/>
          <w:szCs w:val="32"/>
          <w:lang w:val="en-US" w:eastAsia="zh-CN"/>
        </w:rPr>
        <w:t>1个。</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hAnsi="仿宋_GB2312" w:eastAsia="仿宋_GB2312" w:cs="仿宋_GB2312"/>
          <w:color w:val="000000" w:themeColor="text1"/>
          <w:sz w:val="32"/>
          <w:szCs w:val="32"/>
        </w:rPr>
        <w:t>加强</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废气的监控，确保</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监控点的废气达到相应标准限值的要求，监测超标时应对无组织排放废气进行收集、净化处理。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（三）选用低噪声设备，合理布设生产车间，对噪声源采取隔声、减振等措施，定期检修设备。</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（四）废</w:t>
      </w:r>
      <w:r>
        <w:rPr>
          <w:rFonts w:hint="eastAsia" w:ascii="仿宋_GB2312" w:eastAsia="仿宋_GB2312"/>
          <w:color w:val="000000" w:themeColor="text1"/>
          <w:sz w:val="32"/>
          <w:szCs w:val="32"/>
          <w:lang w:eastAsia="zh-CN"/>
        </w:rPr>
        <w:t>化学品</w:t>
      </w:r>
      <w:r>
        <w:rPr>
          <w:rFonts w:hint="eastAsia" w:ascii="仿宋_GB2312" w:eastAsia="仿宋_GB2312"/>
          <w:color w:val="000000" w:themeColor="text1"/>
          <w:sz w:val="32"/>
          <w:szCs w:val="32"/>
        </w:rPr>
        <w:t>容器、废机油</w:t>
      </w:r>
      <w:r>
        <w:rPr>
          <w:rFonts w:hint="eastAsia" w:ascii="仿宋_GB2312" w:eastAsia="仿宋_GB2312"/>
          <w:color w:val="000000" w:themeColor="text1"/>
          <w:sz w:val="32"/>
          <w:szCs w:val="32"/>
          <w:lang w:eastAsia="zh-CN"/>
        </w:rPr>
        <w:t>、废火花油、废含油抹布、废活性炭</w:t>
      </w:r>
      <w:r>
        <w:rPr>
          <w:rFonts w:hint="eastAsia" w:ascii="仿宋_GB2312" w:eastAsia="仿宋_GB2312"/>
          <w:color w:val="000000" w:themeColor="text1"/>
          <w:sz w:val="32"/>
          <w:szCs w:val="32"/>
        </w:rPr>
        <w:t>等</w:t>
      </w:r>
      <w:r>
        <w:rPr>
          <w:rFonts w:hint="eastAsia" w:ascii="仿宋_GB2312" w:eastAsia="仿宋_GB2312"/>
          <w:color w:val="000000" w:themeColor="text1"/>
          <w:sz w:val="32"/>
          <w:szCs w:val="32"/>
          <w:lang w:eastAsia="zh-CN"/>
        </w:rPr>
        <w:t>属于</w:t>
      </w:r>
      <w:r>
        <w:rPr>
          <w:rFonts w:hint="eastAsia" w:ascii="仿宋_GB2312" w:eastAsia="仿宋_GB2312"/>
          <w:color w:val="000000" w:themeColor="text1"/>
          <w:sz w:val="32"/>
          <w:szCs w:val="32"/>
        </w:rPr>
        <w:t>危险废物</w:t>
      </w:r>
      <w:r>
        <w:rPr>
          <w:rFonts w:hint="eastAsia" w:ascii="仿宋_GB2312" w:eastAsia="仿宋_GB2312"/>
          <w:color w:val="000000" w:themeColor="text1"/>
          <w:sz w:val="32"/>
          <w:szCs w:val="32"/>
          <w:lang w:eastAsia="zh-CN"/>
        </w:rPr>
        <w:t>的</w:t>
      </w:r>
      <w:r>
        <w:rPr>
          <w:rFonts w:hint="eastAsia" w:ascii="仿宋_GB2312" w:eastAsia="仿宋_GB2312"/>
          <w:color w:val="000000" w:themeColor="text1"/>
          <w:sz w:val="32"/>
          <w:szCs w:val="32"/>
        </w:rPr>
        <w:t>须设置符合《危险废物贮存污染控制标准》（GB18597-2001）要求的专用贮存场所存放并委托具备危险废物处理资质的机构处理。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lang w:eastAsia="zh-CN"/>
        </w:rPr>
        <w:t>五</w:t>
      </w:r>
      <w:r>
        <w:rPr>
          <w:rFonts w:hint="eastAsia" w:ascii="仿宋_GB2312" w:eastAsia="仿宋_GB2312"/>
          <w:color w:val="000000" w:themeColor="text1"/>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（一）项目竣工后，建设单位应当按照国务院生态环境行政主管部门规定的标准和程序</w:t>
      </w:r>
      <w:r>
        <w:rPr>
          <w:rFonts w:hint="eastAsia" w:ascii="仿宋_GB2312" w:eastAsia="仿宋_GB2312"/>
          <w:color w:val="000000" w:themeColor="text1"/>
          <w:sz w:val="32"/>
          <w:szCs w:val="32"/>
          <w:lang w:eastAsia="zh-CN"/>
        </w:rPr>
        <w:t>、时限</w:t>
      </w:r>
      <w:r>
        <w:rPr>
          <w:rFonts w:hint="eastAsia" w:ascii="仿宋_GB2312" w:eastAsia="仿宋_GB2312"/>
          <w:color w:val="000000" w:themeColor="text1"/>
          <w:sz w:val="32"/>
          <w:szCs w:val="32"/>
        </w:rPr>
        <w:t>，对配套建设的环境保护设施进行验收，编制验收报告，依法向社会公开。</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（二）项目配套建设的环境保护设施经验收合格后，方可投入生产或者使用。</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lang w:eastAsia="zh-CN"/>
        </w:rPr>
        <w:t>六</w:t>
      </w:r>
      <w:r>
        <w:rPr>
          <w:rFonts w:hint="eastAsia" w:ascii="仿宋_GB2312" w:eastAsia="仿宋_GB2312"/>
          <w:color w:val="000000" w:themeColor="text1"/>
          <w:sz w:val="32"/>
          <w:szCs w:val="32"/>
        </w:rPr>
        <w:t>、该项目建设和运行过程中如涉及规划、土地利用、建设、水务、消防、安全等问题，应遵照相关法律法规要求到相应的行政主管部门办理有关手续。</w:t>
      </w:r>
    </w:p>
    <w:p>
      <w:pPr>
        <w:pStyle w:val="19"/>
        <w:ind w:firstLine="636"/>
        <w:rPr>
          <w:rFonts w:hint="eastAsia" w:eastAsia="仿宋_GB2312"/>
          <w:color w:val="000000" w:themeColor="text1"/>
          <w:sz w:val="32"/>
          <w:szCs w:val="32"/>
        </w:rPr>
      </w:pPr>
      <w:r>
        <w:rPr>
          <w:rFonts w:hint="eastAsia" w:ascii="仿宋_GB2312" w:eastAsia="仿宋_GB2312"/>
          <w:color w:val="000000" w:themeColor="text1"/>
          <w:sz w:val="32"/>
          <w:szCs w:val="32"/>
          <w:lang w:eastAsia="zh-CN"/>
        </w:rPr>
        <w:t>七</w:t>
      </w:r>
      <w:r>
        <w:rPr>
          <w:rFonts w:hint="eastAsia" w:ascii="仿宋_GB2312" w:eastAsia="仿宋_GB2312"/>
          <w:color w:val="000000" w:themeColor="text1"/>
          <w:sz w:val="32"/>
          <w:szCs w:val="32"/>
        </w:rPr>
        <w:t>、</w:t>
      </w:r>
      <w:r>
        <w:rPr>
          <w:rFonts w:hint="eastAsia" w:ascii="仿宋_GB2312" w:hAnsi="仿宋" w:eastAsia="仿宋_GB2312"/>
          <w:color w:val="000000" w:themeColor="text1"/>
          <w:sz w:val="32"/>
        </w:rPr>
        <w:t>如不服本行政许可决定，你单位可在接到本行政许可决定之日起60日内向</w:t>
      </w:r>
      <w:r>
        <w:rPr>
          <w:rFonts w:hint="eastAsia" w:ascii="仿宋_GB2312" w:eastAsia="仿宋_GB2312"/>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pPr>
        <w:pStyle w:val="19"/>
        <w:keepNext w:val="0"/>
        <w:keepLines w:val="0"/>
        <w:pageBreakBefore w:val="0"/>
        <w:kinsoku/>
        <w:overflowPunct/>
        <w:topLinePunct w:val="0"/>
        <w:autoSpaceDE/>
        <w:autoSpaceDN/>
        <w:bidi w:val="0"/>
        <w:spacing w:line="560" w:lineRule="exact"/>
        <w:textAlignment w:val="auto"/>
        <w:rPr>
          <w:rFonts w:ascii="仿宋_GB2312" w:hAnsi="仿宋" w:eastAsia="仿宋_GB2312"/>
          <w:color w:val="000000" w:themeColor="text1"/>
          <w:sz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pStyle w:val="2"/>
        <w:rPr>
          <w:rFonts w:ascii="仿宋_GB2312" w:eastAsia="仿宋_GB2312"/>
          <w:color w:val="000000" w:themeColor="text1"/>
          <w:sz w:val="32"/>
          <w:szCs w:val="32"/>
        </w:rPr>
      </w:pPr>
    </w:p>
    <w:p>
      <w:pPr>
        <w:pStyle w:val="2"/>
        <w:rPr>
          <w:rFonts w:ascii="仿宋_GB2312" w:eastAsia="仿宋_GB2312"/>
          <w:color w:val="000000" w:themeColor="text1"/>
          <w:sz w:val="32"/>
          <w:szCs w:val="32"/>
        </w:rPr>
      </w:pPr>
    </w:p>
    <w:p>
      <w:pPr>
        <w:pStyle w:val="2"/>
        <w:rPr>
          <w:rFonts w:ascii="仿宋_GB2312" w:eastAsia="仿宋_GB2312"/>
          <w:color w:val="000000" w:themeColor="text1"/>
          <w:sz w:val="32"/>
          <w:szCs w:val="32"/>
        </w:rPr>
      </w:pPr>
    </w:p>
    <w:p>
      <w:pPr>
        <w:pStyle w:val="2"/>
        <w:rPr>
          <w:rFonts w:ascii="仿宋_GB2312" w:eastAsia="仿宋_GB2312"/>
          <w:color w:val="000000" w:themeColor="text1"/>
          <w:sz w:val="32"/>
          <w:szCs w:val="32"/>
        </w:rPr>
      </w:pPr>
    </w:p>
    <w:p>
      <w:pPr>
        <w:pStyle w:val="2"/>
        <w:rPr>
          <w:rFonts w:ascii="仿宋_GB2312" w:eastAsia="仿宋_GB2312"/>
          <w:color w:val="000000" w:themeColor="text1"/>
          <w:sz w:val="32"/>
          <w:szCs w:val="32"/>
        </w:rPr>
      </w:pPr>
    </w:p>
    <w:p>
      <w:pPr>
        <w:pStyle w:val="2"/>
        <w:rPr>
          <w:rFonts w:ascii="仿宋_GB2312" w:eastAsia="仿宋_GB2312"/>
          <w:color w:val="000000" w:themeColor="text1"/>
          <w:sz w:val="32"/>
          <w:szCs w:val="32"/>
        </w:rPr>
      </w:pPr>
      <w:bookmarkStart w:id="0" w:name="_GoBack"/>
      <w:bookmarkEnd w:id="0"/>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广州市生态环境局</w:t>
      </w:r>
    </w:p>
    <w:p>
      <w:pPr>
        <w:keepNext w:val="0"/>
        <w:keepLines w:val="0"/>
        <w:pageBreakBefore w:val="0"/>
        <w:kinsoku/>
        <w:overflowPunct/>
        <w:topLinePunct w:val="0"/>
        <w:autoSpaceDE/>
        <w:autoSpaceDN/>
        <w:bidi w:val="0"/>
        <w:spacing w:line="560" w:lineRule="exact"/>
        <w:ind w:firstLine="5440" w:firstLineChars="17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lang w:val="en-US" w:eastAsia="zh-CN"/>
        </w:rPr>
        <w:t>7</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lang w:val="en-US" w:eastAsia="zh-CN"/>
        </w:rPr>
        <w:t>16</w:t>
      </w:r>
      <w:r>
        <w:rPr>
          <w:rFonts w:hint="eastAsia" w:ascii="仿宋_GB2312" w:eastAsia="仿宋_GB2312"/>
          <w:color w:val="000000" w:themeColor="text1"/>
          <w:sz w:val="32"/>
          <w:szCs w:val="32"/>
        </w:rPr>
        <w:t>日</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黑体" w:eastAsia="黑体"/>
          <w:color w:val="000000" w:themeColor="text1"/>
          <w:sz w:val="32"/>
          <w:szCs w:val="32"/>
        </w:rPr>
        <w:t>公开方式：</w:t>
      </w:r>
      <w:r>
        <w:rPr>
          <w:rFonts w:hint="eastAsia" w:ascii="仿宋_GB2312" w:eastAsia="仿宋_GB2312"/>
          <w:color w:val="000000" w:themeColor="text1"/>
          <w:sz w:val="32"/>
          <w:szCs w:val="32"/>
        </w:rPr>
        <w:t>主动公开</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rPr>
      </w:pPr>
      <w:r>
        <w:rPr>
          <w:rFonts w:hint="eastAsia" w:ascii="仿宋_GB2312" w:eastAsia="仿宋_GB2312"/>
          <w:color w:val="000000" w:themeColor="text1"/>
          <w:sz w:val="28"/>
          <w:szCs w:val="28"/>
        </w:rPr>
        <w:t>抄送：广州市生态环境局番禺分局执法大队、第</w:t>
      </w:r>
      <w:r>
        <w:rPr>
          <w:rFonts w:hint="eastAsia" w:ascii="仿宋_GB2312" w:eastAsia="仿宋_GB2312"/>
          <w:color w:val="000000" w:themeColor="text1"/>
          <w:sz w:val="28"/>
          <w:szCs w:val="28"/>
          <w:lang w:eastAsia="zh-CN"/>
        </w:rPr>
        <w:t>五</w:t>
      </w:r>
      <w:r>
        <w:rPr>
          <w:rFonts w:hint="eastAsia" w:ascii="仿宋_GB2312" w:eastAsia="仿宋_GB2312"/>
          <w:color w:val="000000" w:themeColor="text1"/>
          <w:sz w:val="28"/>
          <w:szCs w:val="28"/>
        </w:rPr>
        <w:t>环境保护所，</w:t>
      </w:r>
      <w:r>
        <w:rPr>
          <w:rFonts w:hint="eastAsia" w:ascii="仿宋_GB2312" w:eastAsia="仿宋_GB2312"/>
          <w:color w:val="000000" w:themeColor="text1"/>
          <w:sz w:val="28"/>
          <w:szCs w:val="28"/>
          <w:lang w:eastAsia="zh-CN"/>
        </w:rPr>
        <w:t>广州颐景环保科技有限公司</w:t>
      </w:r>
      <w:r>
        <w:rPr>
          <w:rFonts w:hint="eastAsia" w:ascii="仿宋_GB2312" w:eastAsia="仿宋_GB2312"/>
          <w:color w:val="000000" w:themeColor="text1"/>
          <w:sz w:val="28"/>
          <w:szCs w:val="28"/>
        </w:rPr>
        <w:t>。</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Fonts w:ascii="宋体" w:hAnsi="宋体"/>
        <w:sz w:val="28"/>
        <w:szCs w:val="28"/>
      </w:rPr>
    </w:pPr>
    <w:r>
      <w:rPr>
        <w:rStyle w:val="10"/>
        <w:rFonts w:hint="eastAsia" w:ascii="宋体" w:hAnsi="宋体"/>
        <w:sz w:val="28"/>
        <w:szCs w:val="28"/>
      </w:rPr>
      <w:t xml:space="preserve">— </w:t>
    </w: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3</w:t>
    </w:r>
    <w:r>
      <w:rPr>
        <w:rStyle w:val="10"/>
        <w:rFonts w:ascii="宋体" w:hAnsi="宋体"/>
        <w:sz w:val="28"/>
        <w:szCs w:val="28"/>
      </w:rPr>
      <w:fldChar w:fldCharType="end"/>
    </w:r>
    <w:r>
      <w:rPr>
        <w:rStyle w:val="10"/>
        <w:rFonts w:hint="eastAsia" w:ascii="宋体" w:hAnsi="宋体"/>
        <w:sz w:val="28"/>
        <w:szCs w:val="28"/>
      </w:rPr>
      <w:t xml:space="preserve"> —</w:t>
    </w:r>
  </w:p>
  <w:p>
    <w:pPr>
      <w:pStyle w:val="5"/>
      <w:ind w:right="360" w:firstLine="360"/>
      <w:jc w:val="center"/>
      <w:rPr>
        <w:rFonts w:ascii="Times New Roman" w:hAnsi="Times New Roman"/>
        <w:sz w:val="28"/>
        <w:szCs w:val="28"/>
      </w:rPr>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attachedTemplate r:id="rId1"/>
  <w:documentProtection w:enforcement="0"/>
  <w:defaultTabStop w:val="420"/>
  <w:drawingGridHorizontalSpacing w:val="158"/>
  <w:drawingGridVerticalSpacing w:val="61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7A9326D"/>
    <w:rsid w:val="10BF38FB"/>
    <w:rsid w:val="12737E91"/>
    <w:rsid w:val="12DA5DA1"/>
    <w:rsid w:val="20CF4E76"/>
    <w:rsid w:val="307C5365"/>
    <w:rsid w:val="30A22B85"/>
    <w:rsid w:val="3263209B"/>
    <w:rsid w:val="340A5E34"/>
    <w:rsid w:val="38EB77CC"/>
    <w:rsid w:val="3AE822E0"/>
    <w:rsid w:val="3CB773F8"/>
    <w:rsid w:val="3CC7607D"/>
    <w:rsid w:val="41171C7F"/>
    <w:rsid w:val="41A0313A"/>
    <w:rsid w:val="46EC1E77"/>
    <w:rsid w:val="4F586ABA"/>
    <w:rsid w:val="58272CFA"/>
    <w:rsid w:val="59F57B8E"/>
    <w:rsid w:val="62973EAF"/>
    <w:rsid w:val="6A0904ED"/>
    <w:rsid w:val="6B2F71CC"/>
    <w:rsid w:val="73417714"/>
    <w:rsid w:val="77A53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snapToGrid w:val="0"/>
      <w:spacing w:before="60" w:after="160" w:line="259" w:lineRule="auto"/>
      <w:ind w:right="113"/>
    </w:pPr>
    <w:rPr>
      <w:kern w:val="0"/>
      <w:sz w:val="18"/>
      <w:szCs w:val="20"/>
    </w:rPr>
  </w:style>
  <w:style w:type="paragraph" w:styleId="3">
    <w:name w:val="annotation text"/>
    <w:basedOn w:val="1"/>
    <w:link w:val="15"/>
    <w:semiHidden/>
    <w:unhideWhenUsed/>
    <w:qFormat/>
    <w:uiPriority w:val="99"/>
    <w:pPr>
      <w:jc w:val="left"/>
    </w:pPr>
  </w:style>
  <w:style w:type="paragraph" w:styleId="4">
    <w:name w:val="Balloon Text"/>
    <w:basedOn w:val="1"/>
    <w:link w:val="17"/>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6"/>
    <w:semiHidden/>
    <w:unhideWhenUsed/>
    <w:qFormat/>
    <w:uiPriority w:val="99"/>
    <w:rPr>
      <w:b/>
      <w:bCs/>
    </w:rPr>
  </w:style>
  <w:style w:type="character" w:styleId="10">
    <w:name w:val="page number"/>
    <w:basedOn w:val="9"/>
    <w:qFormat/>
    <w:uiPriority w:val="0"/>
  </w:style>
  <w:style w:type="character" w:styleId="11">
    <w:name w:val="annotation reference"/>
    <w:basedOn w:val="9"/>
    <w:semiHidden/>
    <w:unhideWhenUsed/>
    <w:qFormat/>
    <w:uiPriority w:val="99"/>
    <w:rPr>
      <w:sz w:val="21"/>
      <w:szCs w:val="21"/>
    </w:rPr>
  </w:style>
  <w:style w:type="character" w:customStyle="1" w:styleId="12">
    <w:name w:val="页眉 Char"/>
    <w:basedOn w:val="9"/>
    <w:link w:val="6"/>
    <w:semiHidden/>
    <w:qFormat/>
    <w:uiPriority w:val="99"/>
    <w:rPr>
      <w:kern w:val="2"/>
      <w:sz w:val="18"/>
      <w:szCs w:val="18"/>
    </w:rPr>
  </w:style>
  <w:style w:type="character" w:customStyle="1" w:styleId="13">
    <w:name w:val="页脚 Char"/>
    <w:basedOn w:val="9"/>
    <w:link w:val="5"/>
    <w:qFormat/>
    <w:uiPriority w:val="99"/>
    <w:rPr>
      <w:kern w:val="2"/>
      <w:sz w:val="18"/>
      <w:szCs w:val="18"/>
    </w:rPr>
  </w:style>
  <w:style w:type="paragraph" w:customStyle="1" w:styleId="14">
    <w:name w:val="Char1"/>
    <w:basedOn w:val="1"/>
    <w:qFormat/>
    <w:uiPriority w:val="0"/>
    <w:pPr>
      <w:tabs>
        <w:tab w:val="left" w:pos="840"/>
      </w:tabs>
      <w:ind w:left="840" w:hanging="420"/>
    </w:pPr>
    <w:rPr>
      <w:rFonts w:ascii="Times New Roman" w:hAnsi="Times New Roman"/>
      <w:sz w:val="24"/>
      <w:szCs w:val="24"/>
    </w:rPr>
  </w:style>
  <w:style w:type="character" w:customStyle="1" w:styleId="15">
    <w:name w:val="批注文字 Char"/>
    <w:basedOn w:val="9"/>
    <w:link w:val="3"/>
    <w:semiHidden/>
    <w:qFormat/>
    <w:uiPriority w:val="99"/>
    <w:rPr>
      <w:kern w:val="2"/>
      <w:sz w:val="21"/>
      <w:szCs w:val="22"/>
    </w:rPr>
  </w:style>
  <w:style w:type="character" w:customStyle="1" w:styleId="16">
    <w:name w:val="批注主题 Char"/>
    <w:basedOn w:val="15"/>
    <w:link w:val="7"/>
    <w:semiHidden/>
    <w:qFormat/>
    <w:uiPriority w:val="99"/>
    <w:rPr>
      <w:b/>
      <w:bCs/>
    </w:rPr>
  </w:style>
  <w:style w:type="character" w:customStyle="1" w:styleId="17">
    <w:name w:val="批注框文本 Char"/>
    <w:basedOn w:val="9"/>
    <w:link w:val="4"/>
    <w:semiHidden/>
    <w:qFormat/>
    <w:uiPriority w:val="99"/>
    <w:rPr>
      <w:kern w:val="2"/>
      <w:sz w:val="18"/>
      <w:szCs w:val="18"/>
    </w:rPr>
  </w:style>
  <w:style w:type="paragraph" w:customStyle="1" w:styleId="18">
    <w:name w:val="Revision"/>
    <w:hidden/>
    <w:semiHidden/>
    <w:qFormat/>
    <w:uiPriority w:val="99"/>
    <w:rPr>
      <w:rFonts w:ascii="Calibri" w:hAnsi="Calibri" w:eastAsia="宋体" w:cs="Times New Roman"/>
      <w:kern w:val="2"/>
      <w:sz w:val="21"/>
      <w:szCs w:val="22"/>
      <w:lang w:val="en-US" w:eastAsia="zh-CN" w:bidi="ar-SA"/>
    </w:rPr>
  </w:style>
  <w:style w:type="paragraph" w:customStyle="1" w:styleId="19">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6</Pages>
  <Words>414</Words>
  <Characters>2364</Characters>
  <Lines>19</Lines>
  <Paragraphs>5</Paragraphs>
  <TotalTime>27</TotalTime>
  <ScaleCrop>false</ScaleCrop>
  <LinksUpToDate>false</LinksUpToDate>
  <CharactersWithSpaces>2773</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2012-12-06T03:13:00Z</cp:lastPrinted>
  <dcterms:modified xsi:type="dcterms:W3CDTF">2021-07-19T03:10:38Z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2052-11.1.0.10379</vt:lpwstr>
  </property>
  <property fmtid="{D5CDD505-2E9C-101B-9397-08002B2CF9AE}" pid="4" name="ICV">
    <vt:lpwstr>D9BE4AAC6BC54B72AF05F129CBFBDDF6</vt:lpwstr>
  </property>
</Properties>
</file>