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right="-156" w:hanging="180"/>
        <w:jc w:val="center"/>
        <w:rPr>
          <w:rFonts w:ascii="公文小标宋简" w:eastAsia="公文小标宋简"/>
          <w:b/>
          <w:bCs/>
          <w:smallCaps/>
          <w:snapToGrid w:val="0"/>
          <w:color w:val="000000" w:themeColor="text1"/>
          <w:spacing w:val="56"/>
          <w:kern w:val="0"/>
          <w:sz w:val="72"/>
          <w:szCs w:val="72"/>
        </w:rPr>
      </w:pPr>
    </w:p>
    <w:p>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000000" w:themeColor="text1"/>
        </w:rPr>
      </w:pPr>
      <w:r>
        <w:rPr>
          <w:rFonts w:hint="eastAsia" w:ascii="仿宋_GB2312"/>
          <w:color w:val="000000" w:themeColor="text1"/>
        </w:rPr>
        <w:t xml:space="preserve">                                       </w:t>
      </w:r>
      <w:r>
        <w:rPr>
          <w:rFonts w:hint="eastAsia" w:ascii="仿宋_GB2312" w:eastAsia="仿宋_GB2312"/>
          <w:color w:val="000000" w:themeColor="text1"/>
          <w:sz w:val="32"/>
          <w:szCs w:val="32"/>
        </w:rPr>
        <w:t>穗（番）环管影〔20</w:t>
      </w:r>
      <w:r>
        <w:rPr>
          <w:rFonts w:hint="eastAsia" w:ascii="仿宋_GB2312" w:eastAsia="仿宋_GB2312"/>
          <w:color w:val="000000" w:themeColor="text1"/>
          <w:sz w:val="32"/>
          <w:szCs w:val="32"/>
          <w:lang w:val="en-US" w:eastAsia="zh-CN"/>
        </w:rPr>
        <w:t>21</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val="en-US" w:eastAsia="zh-CN"/>
        </w:rPr>
        <w:t>119</w:t>
      </w:r>
      <w:r>
        <w:rPr>
          <w:rFonts w:hint="eastAsia" w:ascii="仿宋_GB2312" w:eastAsia="仿宋_GB2312"/>
          <w:color w:val="000000" w:themeColor="text1"/>
          <w:sz w:val="32"/>
          <w:szCs w:val="32"/>
        </w:rPr>
        <w:t>号</w:t>
      </w:r>
    </w:p>
    <w:p>
      <w:pPr>
        <w:keepNext w:val="0"/>
        <w:keepLines w:val="0"/>
        <w:pageBreakBefore w:val="0"/>
        <w:kinsoku/>
        <w:overflowPunct/>
        <w:topLinePunct w:val="0"/>
        <w:autoSpaceDE/>
        <w:autoSpaceDN/>
        <w:bidi w:val="0"/>
        <w:spacing w:line="560" w:lineRule="exact"/>
        <w:textAlignment w:val="auto"/>
        <w:rPr>
          <w:rFonts w:ascii="黑体" w:eastAsia="黑体"/>
          <w:color w:val="000000" w:themeColor="text1"/>
        </w:rPr>
      </w:pPr>
    </w:p>
    <w:p>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000000" w:themeColor="text1"/>
        </w:rPr>
      </w:pPr>
    </w:p>
    <w:p>
      <w:pPr>
        <w:keepNext w:val="0"/>
        <w:keepLines w:val="0"/>
        <w:pageBreakBefore w:val="0"/>
        <w:kinsoku/>
        <w:overflowPunct/>
        <w:topLinePunct w:val="0"/>
        <w:autoSpaceDE/>
        <w:autoSpaceDN/>
        <w:bidi w:val="0"/>
        <w:spacing w:line="560" w:lineRule="exact"/>
        <w:jc w:val="center"/>
        <w:textAlignment w:val="auto"/>
        <w:rPr>
          <w:rFonts w:hint="default" w:ascii="方正小标宋简体" w:eastAsia="方正小标宋简体" w:cs="Times New Roman"/>
          <w:color w:val="000000" w:themeColor="text1"/>
          <w:sz w:val="44"/>
          <w:szCs w:val="44"/>
        </w:rPr>
      </w:pPr>
      <w:r>
        <w:rPr>
          <w:rFonts w:hint="eastAsia" w:ascii="方正小标宋简体" w:eastAsia="方正小标宋简体"/>
          <w:color w:val="000000" w:themeColor="text1"/>
          <w:spacing w:val="17"/>
          <w:sz w:val="44"/>
          <w:szCs w:val="44"/>
        </w:rPr>
        <w:t>广州市生态环境</w:t>
      </w:r>
      <w:r>
        <w:rPr>
          <w:rFonts w:hint="eastAsia" w:ascii="方正小标宋简体" w:eastAsia="方正小标宋简体" w:cs="Times New Roman"/>
          <w:color w:val="000000" w:themeColor="text1"/>
          <w:sz w:val="44"/>
          <w:szCs w:val="44"/>
        </w:rPr>
        <w:t>局关于</w:t>
      </w:r>
      <w:r>
        <w:rPr>
          <w:rFonts w:hint="default" w:ascii="方正小标宋简体" w:eastAsia="方正小标宋简体" w:cs="Times New Roman"/>
          <w:color w:val="000000" w:themeColor="text1"/>
          <w:sz w:val="44"/>
          <w:szCs w:val="44"/>
        </w:rPr>
        <w:t>广州市佰纶万霖数码印花有限公司年产数码印花布匹350万米</w:t>
      </w:r>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s="Times New Roman"/>
          <w:color w:val="000000" w:themeColor="text1"/>
          <w:sz w:val="44"/>
          <w:szCs w:val="44"/>
        </w:rPr>
      </w:pPr>
      <w:r>
        <w:rPr>
          <w:rFonts w:hint="default" w:ascii="方正小标宋简体" w:eastAsia="方正小标宋简体" w:cs="Times New Roman"/>
          <w:color w:val="000000" w:themeColor="text1"/>
          <w:sz w:val="44"/>
          <w:szCs w:val="44"/>
        </w:rPr>
        <w:t>建设项目</w:t>
      </w:r>
      <w:r>
        <w:rPr>
          <w:rFonts w:hint="eastAsia" w:ascii="方正小标宋简体" w:eastAsia="方正小标宋简体" w:cs="Times New Roman"/>
          <w:color w:val="000000" w:themeColor="text1"/>
          <w:sz w:val="44"/>
          <w:szCs w:val="44"/>
        </w:rPr>
        <w:t>环境影响报告表的批复</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hint="default" w:ascii="仿宋_GB2312" w:eastAsia="仿宋_GB2312" w:cs="Times New Roman"/>
          <w:color w:val="000000" w:themeColor="text1"/>
          <w:sz w:val="32"/>
          <w:szCs w:val="32"/>
        </w:rPr>
      </w:pPr>
      <w:r>
        <w:rPr>
          <w:rFonts w:hint="default" w:ascii="仿宋_GB2312" w:eastAsia="仿宋_GB2312" w:cs="Times New Roman"/>
          <w:color w:val="000000" w:themeColor="text1"/>
          <w:sz w:val="32"/>
          <w:szCs w:val="32"/>
        </w:rPr>
        <w:t>广州市佰纶万霖数码印花有限公司</w:t>
      </w:r>
      <w:r>
        <w:rPr>
          <w:rFonts w:hint="eastAsia" w:ascii="仿宋_GB2312" w:eastAsia="仿宋_GB2312" w:cs="Times New Roman"/>
          <w:color w:val="000000" w:themeColor="text1"/>
          <w:sz w:val="32"/>
          <w:szCs w:val="32"/>
        </w:rPr>
        <w:t>（</w:t>
      </w:r>
      <w:r>
        <w:rPr>
          <w:rFonts w:hint="default" w:ascii="仿宋_GB2312" w:eastAsia="仿宋_GB2312" w:cs="Times New Roman"/>
          <w:color w:val="000000" w:themeColor="text1"/>
          <w:sz w:val="32"/>
          <w:szCs w:val="32"/>
        </w:rPr>
        <w:t>91440101MA9W0AAA5G</w:t>
      </w:r>
      <w:r>
        <w:rPr>
          <w:rFonts w:hint="eastAsia" w:ascii="仿宋_GB2312" w:eastAsia="仿宋_GB2312" w:cs="Times New Roman"/>
          <w:color w:val="000000" w:themeColor="text1"/>
          <w:sz w:val="32"/>
          <w:szCs w:val="32"/>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s="Times New Roman"/>
          <w:color w:val="000000" w:themeColor="text1"/>
          <w:sz w:val="32"/>
          <w:szCs w:val="32"/>
        </w:rPr>
        <w:t>你单位报送的《</w:t>
      </w:r>
      <w:r>
        <w:rPr>
          <w:rFonts w:hint="default" w:ascii="仿宋_GB2312" w:eastAsia="仿宋_GB2312" w:cs="Times New Roman"/>
          <w:color w:val="000000" w:themeColor="text1"/>
          <w:sz w:val="32"/>
          <w:szCs w:val="32"/>
        </w:rPr>
        <w:t>广州市佰纶万霖数码印花有限公司年产数码印花布匹350万米建设项目</w:t>
      </w:r>
      <w:r>
        <w:rPr>
          <w:rFonts w:hint="eastAsia" w:ascii="仿宋_GB2312" w:eastAsia="仿宋_GB2312" w:cs="Times New Roman"/>
          <w:color w:val="000000" w:themeColor="text1"/>
          <w:sz w:val="32"/>
          <w:szCs w:val="32"/>
        </w:rPr>
        <w:t>环境影响报告表》（以下简称“《报告表》”）及附送资料收悉。经研究，现批</w:t>
      </w:r>
      <w:r>
        <w:rPr>
          <w:rFonts w:hint="eastAsia" w:ascii="仿宋_GB2312" w:eastAsia="仿宋_GB2312"/>
          <w:color w:val="000000" w:themeColor="text1"/>
          <w:sz w:val="32"/>
          <w:szCs w:val="32"/>
        </w:rPr>
        <w:t>复如下：</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w:t>
      </w:r>
      <w:r>
        <w:rPr>
          <w:rFonts w:hint="default" w:ascii="仿宋_GB2312" w:eastAsia="仿宋_GB2312" w:cs="Times New Roman"/>
          <w:color w:val="000000" w:themeColor="text1"/>
          <w:sz w:val="32"/>
          <w:szCs w:val="32"/>
        </w:rPr>
        <w:t>广州市佰纶万霖数码印花有限公司年产数码印花布匹350万米建设项目</w:t>
      </w:r>
      <w:r>
        <w:rPr>
          <w:rFonts w:hint="eastAsia" w:ascii="仿宋_GB2312" w:eastAsia="仿宋_GB2312" w:cs="Times New Roman"/>
          <w:color w:val="000000" w:themeColor="text1"/>
          <w:sz w:val="32"/>
          <w:szCs w:val="32"/>
        </w:rPr>
        <w:t>（以下简称“该项目”）位于</w:t>
      </w:r>
      <w:r>
        <w:rPr>
          <w:rFonts w:hint="default" w:ascii="仿宋_GB2312" w:eastAsia="仿宋_GB2312" w:cs="Times New Roman"/>
          <w:color w:val="000000" w:themeColor="text1"/>
          <w:sz w:val="32"/>
          <w:szCs w:val="32"/>
        </w:rPr>
        <w:t>广州市番禺区钟村街钟村二村金山湖大街36号之一厂房三楼303、305</w:t>
      </w:r>
      <w:r>
        <w:rPr>
          <w:rFonts w:hint="eastAsia" w:ascii="仿宋_GB2312" w:eastAsia="仿宋_GB2312" w:cs="Times New Roman"/>
          <w:color w:val="000000" w:themeColor="text1"/>
          <w:sz w:val="32"/>
          <w:szCs w:val="32"/>
        </w:rPr>
        <w:t>，</w:t>
      </w:r>
      <w:r>
        <w:rPr>
          <w:rFonts w:hint="eastAsia" w:ascii="仿宋_GB2312" w:eastAsia="仿宋_GB2312"/>
          <w:color w:val="000000" w:themeColor="text1"/>
          <w:sz w:val="32"/>
          <w:szCs w:val="32"/>
        </w:rPr>
        <w:t>申报内容为</w:t>
      </w:r>
      <w:r>
        <w:rPr>
          <w:rFonts w:hint="default" w:ascii="仿宋_GB2312" w:eastAsia="仿宋_GB2312" w:cs="Times New Roman"/>
          <w:color w:val="000000" w:themeColor="text1"/>
          <w:sz w:val="32"/>
          <w:szCs w:val="32"/>
        </w:rPr>
        <w:t>年产数码印花布匹350万米</w:t>
      </w:r>
      <w:r>
        <w:rPr>
          <w:rFonts w:hint="eastAsia" w:ascii="仿宋_GB2312" w:eastAsia="仿宋_GB2312"/>
          <w:color w:val="000000" w:themeColor="text1"/>
          <w:sz w:val="32"/>
          <w:szCs w:val="32"/>
        </w:rPr>
        <w:t>。该项目占地面积</w:t>
      </w:r>
      <w:r>
        <w:rPr>
          <w:rFonts w:hint="eastAsia" w:ascii="仿宋_GB2312" w:eastAsia="仿宋_GB2312"/>
          <w:color w:val="000000" w:themeColor="text1"/>
          <w:sz w:val="32"/>
          <w:szCs w:val="32"/>
          <w:lang w:val="en-US" w:eastAsia="zh-CN"/>
        </w:rPr>
        <w:t>320</w:t>
      </w:r>
      <w:r>
        <w:rPr>
          <w:rFonts w:hint="eastAsia" w:ascii="仿宋_GB2312" w:eastAsia="仿宋_GB2312"/>
          <w:color w:val="000000" w:themeColor="text1"/>
          <w:sz w:val="32"/>
          <w:szCs w:val="32"/>
        </w:rPr>
        <w:t>平方米，总建筑面积</w:t>
      </w:r>
      <w:r>
        <w:rPr>
          <w:rFonts w:hint="eastAsia" w:ascii="仿宋_GB2312" w:eastAsia="仿宋_GB2312"/>
          <w:color w:val="000000" w:themeColor="text1"/>
          <w:sz w:val="32"/>
          <w:szCs w:val="32"/>
          <w:lang w:val="en-US" w:eastAsia="zh-CN"/>
        </w:rPr>
        <w:t>320</w:t>
      </w:r>
      <w:r>
        <w:rPr>
          <w:rFonts w:hint="eastAsia" w:ascii="仿宋_GB2312" w:eastAsia="仿宋_GB2312"/>
          <w:color w:val="000000" w:themeColor="text1"/>
          <w:sz w:val="32"/>
          <w:szCs w:val="32"/>
        </w:rPr>
        <w:t>平方米，主要建筑物有</w:t>
      </w:r>
      <w:r>
        <w:rPr>
          <w:rFonts w:hint="eastAsia" w:ascii="仿宋_GB2312" w:eastAsia="仿宋_GB2312"/>
          <w:color w:val="000000" w:themeColor="text1"/>
          <w:sz w:val="32"/>
          <w:szCs w:val="32"/>
          <w:lang w:val="en-US" w:eastAsia="zh-CN"/>
        </w:rPr>
        <w:t>1栋五层厂房（该项目租用第三层）</w:t>
      </w:r>
      <w:r>
        <w:rPr>
          <w:rFonts w:hint="eastAsia" w:ascii="仿宋_GB2312" w:eastAsia="仿宋_GB2312" w:cs="Times New Roman"/>
          <w:color w:val="000000" w:themeColor="text1"/>
          <w:sz w:val="32"/>
          <w:szCs w:val="32"/>
          <w:lang w:val="en-US" w:eastAsia="zh-CN"/>
        </w:rPr>
        <w:t>；主要设备有热转印机1台、数码打印机4台、收卷机1台、空压机1台</w:t>
      </w:r>
      <w:r>
        <w:rPr>
          <w:rFonts w:hint="eastAsia" w:ascii="仿宋_GB2312" w:eastAsia="仿宋_GB2312"/>
          <w:color w:val="000000" w:themeColor="text1"/>
          <w:sz w:val="32"/>
          <w:szCs w:val="32"/>
          <w:lang w:val="en-US" w:eastAsia="zh-CN"/>
        </w:rPr>
        <w:t>等</w:t>
      </w:r>
      <w:r>
        <w:rPr>
          <w:rFonts w:hint="eastAsia" w:ascii="仿宋_GB2312" w:eastAsia="仿宋_GB2312"/>
          <w:color w:val="000000" w:themeColor="text1"/>
          <w:sz w:val="32"/>
          <w:szCs w:val="32"/>
        </w:rPr>
        <w:t>；员工</w:t>
      </w:r>
      <w:r>
        <w:rPr>
          <w:rFonts w:hint="eastAsia" w:ascii="仿宋_GB2312" w:eastAsia="仿宋_GB2312"/>
          <w:color w:val="000000" w:themeColor="text1"/>
          <w:sz w:val="32"/>
          <w:szCs w:val="32"/>
          <w:lang w:val="en-US" w:eastAsia="zh-CN"/>
        </w:rPr>
        <w:t>6</w:t>
      </w:r>
      <w:r>
        <w:rPr>
          <w:rFonts w:hint="eastAsia" w:ascii="仿宋_GB2312" w:eastAsia="仿宋_GB2312"/>
          <w:color w:val="000000" w:themeColor="text1"/>
          <w:sz w:val="32"/>
          <w:szCs w:val="32"/>
        </w:rPr>
        <w:t>名，内部不安排食宿。</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按照《报告表》的评价结论，在落实各项环境保护措施后，该项目产生的污染物及不良环境影响能够得到有效控制，从环境保护角度，在</w:t>
      </w:r>
      <w:r>
        <w:rPr>
          <w:rFonts w:hint="eastAsia" w:ascii="仿宋_GB2312" w:eastAsia="仿宋_GB2312"/>
          <w:color w:val="000000" w:themeColor="text1"/>
          <w:sz w:val="32"/>
          <w:szCs w:val="32"/>
          <w:lang w:eastAsia="zh-CN"/>
        </w:rPr>
        <w:t>拟</w:t>
      </w:r>
      <w:r>
        <w:rPr>
          <w:rFonts w:hint="eastAsia" w:ascii="仿宋_GB2312" w:eastAsia="仿宋_GB2312"/>
          <w:color w:val="000000" w:themeColor="text1"/>
          <w:sz w:val="32"/>
          <w:szCs w:val="32"/>
        </w:rPr>
        <w:t>选址处建设可行。经审查，我局原则同意《报告表》评价结论。该项目应当按照《报告表》所述性质、规模、地点、生产工艺和环境保护措施进行建设。</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二、该项目各类污染物排放控制要求如下：</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w:t>
      </w:r>
      <w:r>
        <w:rPr>
          <w:rFonts w:hint="eastAsia" w:ascii="仿宋_GB2312" w:eastAsia="仿宋_GB2312"/>
          <w:color w:val="000000" w:themeColor="text1"/>
          <w:sz w:val="32"/>
          <w:szCs w:val="32"/>
          <w:lang w:eastAsia="zh-CN"/>
        </w:rPr>
        <w:t>水污染物</w:t>
      </w:r>
      <w:r>
        <w:rPr>
          <w:rFonts w:hint="eastAsia" w:ascii="仿宋_GB2312" w:eastAsia="仿宋_GB2312"/>
          <w:color w:val="000000" w:themeColor="text1"/>
          <w:sz w:val="32"/>
          <w:szCs w:val="32"/>
        </w:rPr>
        <w:t>排放执行广东省《水污染物排放限值》（DB44/26-2001）第二时段三级标准。生活污水排放量不超过</w:t>
      </w:r>
      <w:r>
        <w:rPr>
          <w:rFonts w:hint="eastAsia" w:ascii="仿宋_GB2312" w:eastAsia="仿宋_GB2312"/>
          <w:color w:val="000000" w:themeColor="text1"/>
          <w:sz w:val="32"/>
          <w:szCs w:val="32"/>
          <w:lang w:val="en-US" w:eastAsia="zh-CN"/>
        </w:rPr>
        <w:t>54</w:t>
      </w:r>
      <w:r>
        <w:rPr>
          <w:rFonts w:hint="eastAsia" w:ascii="仿宋_GB2312" w:eastAsia="仿宋_GB2312"/>
          <w:color w:val="000000" w:themeColor="text1"/>
          <w:sz w:val="32"/>
          <w:szCs w:val="32"/>
        </w:rPr>
        <w:t>吨/年。</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lang w:eastAsia="zh-CN"/>
        </w:rPr>
      </w:pPr>
      <w:r>
        <w:rPr>
          <w:rFonts w:hint="eastAsia" w:ascii="仿宋_GB2312" w:eastAsia="仿宋_GB2312"/>
          <w:color w:val="000000" w:themeColor="text1"/>
          <w:sz w:val="32"/>
          <w:szCs w:val="32"/>
        </w:rPr>
        <w:t>（二）</w:t>
      </w:r>
      <w:r>
        <w:rPr>
          <w:rFonts w:hint="eastAsia" w:ascii="仿宋_GB2312" w:eastAsia="仿宋_GB2312"/>
          <w:color w:val="000000" w:themeColor="text1"/>
          <w:sz w:val="32"/>
          <w:szCs w:val="32"/>
          <w:lang w:eastAsia="zh-CN"/>
        </w:rPr>
        <w:t>有机废气排放执行广东省《印刷行业挥发性有机化合物排放标准》（DB4</w:t>
      </w:r>
      <w:r>
        <w:rPr>
          <w:rFonts w:hint="eastAsia" w:ascii="仿宋_GB2312" w:eastAsia="仿宋_GB2312" w:cs="Times New Roman"/>
          <w:color w:val="000000" w:themeColor="text1"/>
          <w:sz w:val="32"/>
          <w:szCs w:val="32"/>
          <w:lang w:eastAsia="zh-CN"/>
        </w:rPr>
        <w:t>4/815-2010）表</w:t>
      </w:r>
      <w:r>
        <w:rPr>
          <w:rFonts w:hint="eastAsia" w:ascii="仿宋_GB2312" w:eastAsia="仿宋_GB2312"/>
          <w:color w:val="000000" w:themeColor="text1"/>
          <w:sz w:val="32"/>
          <w:szCs w:val="32"/>
          <w:lang w:eastAsia="zh-CN"/>
        </w:rPr>
        <w:t>2</w:t>
      </w:r>
      <w:r>
        <w:rPr>
          <w:rFonts w:hint="default" w:ascii="仿宋_GB2312" w:eastAsia="仿宋_GB2312" w:cs="Times New Roman"/>
          <w:color w:val="000000" w:themeColor="text1"/>
          <w:sz w:val="32"/>
          <w:szCs w:val="32"/>
          <w:lang w:eastAsia="zh-CN"/>
        </w:rPr>
        <w:t>平版印刷（</w:t>
      </w:r>
      <w:r>
        <w:rPr>
          <w:rFonts w:hint="eastAsia" w:ascii="仿宋_GB2312" w:eastAsia="仿宋_GB2312" w:cs="Times New Roman"/>
          <w:color w:val="000000" w:themeColor="text1"/>
          <w:sz w:val="32"/>
          <w:szCs w:val="32"/>
          <w:lang w:val="en-US" w:eastAsia="zh-CN"/>
        </w:rPr>
        <w:t>不含</w:t>
      </w:r>
      <w:r>
        <w:rPr>
          <w:rFonts w:hint="default" w:ascii="仿宋_GB2312" w:eastAsia="仿宋_GB2312" w:cs="Times New Roman"/>
          <w:color w:val="000000" w:themeColor="text1"/>
          <w:sz w:val="32"/>
          <w:szCs w:val="32"/>
          <w:lang w:eastAsia="zh-CN"/>
        </w:rPr>
        <w:t>以金属、陶瓷、玻璃为承印物的平版印刷）</w:t>
      </w:r>
      <w:r>
        <w:rPr>
          <w:rFonts w:hint="eastAsia" w:ascii="仿宋_GB2312" w:eastAsia="仿宋_GB2312" w:cs="Times New Roman"/>
          <w:color w:val="000000" w:themeColor="text1"/>
          <w:sz w:val="32"/>
          <w:szCs w:val="32"/>
          <w:lang w:eastAsia="zh-CN"/>
        </w:rPr>
        <w:t>、</w:t>
      </w:r>
      <w:r>
        <w:rPr>
          <w:rFonts w:hint="eastAsia" w:ascii="仿宋_GB2312" w:eastAsia="仿宋_GB2312" w:cs="Times New Roman"/>
          <w:color w:val="000000" w:themeColor="text1"/>
          <w:sz w:val="32"/>
          <w:szCs w:val="32"/>
          <w:lang w:val="en-US" w:eastAsia="zh-CN"/>
        </w:rPr>
        <w:t>柔性版印刷中的</w:t>
      </w:r>
      <w:r>
        <w:rPr>
          <w:rFonts w:hint="eastAsia" w:ascii="仿宋_GB2312" w:eastAsia="仿宋_GB2312"/>
          <w:color w:val="000000" w:themeColor="text1"/>
          <w:sz w:val="32"/>
          <w:szCs w:val="32"/>
          <w:lang w:eastAsia="zh-CN"/>
        </w:rPr>
        <w:t>第Ⅱ时段排放限值及表3无组织排放监控点浓度限值。</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（三）边界噪声排放执行《工业企业厂界环境噪声排放标准》（GB12348-2008）2类区限值，即：昼间≤60</w:t>
      </w:r>
      <w:r>
        <w:rPr>
          <w:rFonts w:hint="eastAsia" w:ascii="仿宋_GB2312" w:eastAsia="仿宋_GB2312"/>
          <w:color w:val="000000" w:themeColor="text1"/>
          <w:sz w:val="32"/>
          <w:szCs w:val="32"/>
          <w:lang w:val="en-US" w:eastAsia="zh-CN"/>
        </w:rPr>
        <w:t>dB（A）</w:t>
      </w:r>
      <w:r>
        <w:rPr>
          <w:rFonts w:hint="eastAsia" w:ascii="仿宋_GB2312" w:eastAsia="仿宋_GB2312"/>
          <w:color w:val="000000" w:themeColor="text1"/>
          <w:sz w:val="32"/>
          <w:szCs w:val="32"/>
        </w:rPr>
        <w:t>，夜间≤50</w:t>
      </w:r>
      <w:r>
        <w:rPr>
          <w:rFonts w:hint="eastAsia" w:ascii="仿宋_GB2312" w:eastAsia="仿宋_GB2312"/>
          <w:color w:val="000000" w:themeColor="text1"/>
          <w:sz w:val="32"/>
          <w:szCs w:val="32"/>
          <w:lang w:val="en-US" w:eastAsia="zh-CN"/>
        </w:rPr>
        <w:t>dB（A）</w:t>
      </w:r>
      <w:r>
        <w:rPr>
          <w:rFonts w:hint="eastAsia" w:ascii="仿宋_GB2312" w:eastAsia="仿宋_GB2312"/>
          <w:color w:val="000000" w:themeColor="text1"/>
          <w:sz w:val="32"/>
          <w:szCs w:val="32"/>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三、该项目应当认真落实《报告表》提出的各项环境保护措施，重点做好以下工作：</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（一）项目排水系统采用雨污分流。生活污水</w:t>
      </w:r>
      <w:r>
        <w:rPr>
          <w:rFonts w:hint="eastAsia" w:ascii="仿宋_GB2312" w:eastAsia="仿宋_GB2312"/>
          <w:color w:val="000000" w:themeColor="text1"/>
          <w:sz w:val="32"/>
          <w:szCs w:val="32"/>
          <w:lang w:eastAsia="zh-CN"/>
        </w:rPr>
        <w:t>经三级化粪池预处理后</w:t>
      </w:r>
      <w:r>
        <w:rPr>
          <w:rFonts w:hint="eastAsia" w:ascii="仿宋_GB2312" w:eastAsia="仿宋_GB2312"/>
          <w:color w:val="000000" w:themeColor="text1"/>
          <w:sz w:val="32"/>
          <w:szCs w:val="32"/>
        </w:rPr>
        <w:t>排入市政集污管网，送</w:t>
      </w:r>
      <w:r>
        <w:rPr>
          <w:rFonts w:hint="eastAsia" w:ascii="仿宋_GB2312" w:eastAsia="仿宋_GB2312"/>
          <w:color w:val="000000" w:themeColor="text1"/>
          <w:sz w:val="32"/>
          <w:szCs w:val="32"/>
          <w:lang w:eastAsia="zh-CN"/>
        </w:rPr>
        <w:t>钟村</w:t>
      </w:r>
      <w:r>
        <w:rPr>
          <w:rFonts w:hint="eastAsia" w:ascii="仿宋_GB2312" w:eastAsia="仿宋_GB2312"/>
          <w:color w:val="000000" w:themeColor="text1"/>
          <w:sz w:val="32"/>
          <w:szCs w:val="32"/>
        </w:rPr>
        <w:t>净水厂</w:t>
      </w:r>
      <w:r>
        <w:rPr>
          <w:rFonts w:hint="eastAsia" w:ascii="仿宋_GB2312" w:eastAsia="仿宋_GB2312"/>
          <w:color w:val="000000" w:themeColor="text1"/>
          <w:sz w:val="32"/>
          <w:szCs w:val="32"/>
          <w:lang w:eastAsia="zh-CN"/>
        </w:rPr>
        <w:t>集中</w:t>
      </w:r>
      <w:r>
        <w:rPr>
          <w:rFonts w:hint="eastAsia" w:ascii="仿宋_GB2312" w:eastAsia="仿宋_GB2312"/>
          <w:color w:val="000000" w:themeColor="text1"/>
          <w:sz w:val="32"/>
          <w:szCs w:val="32"/>
        </w:rPr>
        <w:t>处理。项目设置</w:t>
      </w:r>
      <w:r>
        <w:rPr>
          <w:rFonts w:hint="eastAsia" w:ascii="仿宋_GB2312" w:eastAsia="仿宋_GB2312"/>
          <w:color w:val="000000" w:themeColor="text1"/>
          <w:sz w:val="32"/>
          <w:szCs w:val="32"/>
          <w:lang w:eastAsia="zh-CN"/>
        </w:rPr>
        <w:t>生活污</w:t>
      </w:r>
      <w:r>
        <w:rPr>
          <w:rFonts w:hint="eastAsia" w:ascii="仿宋_GB2312" w:eastAsia="仿宋_GB2312"/>
          <w:color w:val="000000" w:themeColor="text1"/>
          <w:sz w:val="32"/>
          <w:szCs w:val="32"/>
        </w:rPr>
        <w:t>水排放口</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rPr>
        <w:t>个。</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lang w:eastAsia="zh-CN"/>
        </w:rPr>
      </w:pPr>
      <w:r>
        <w:rPr>
          <w:rFonts w:hint="eastAsia" w:ascii="仿宋_GB2312" w:eastAsia="仿宋_GB2312"/>
          <w:color w:val="000000" w:themeColor="text1"/>
          <w:sz w:val="32"/>
          <w:szCs w:val="32"/>
        </w:rPr>
        <w:t>（二）项目应严格执行《挥发性有机物无组织排放控制标准》（GB37822-2019）的各项控制要求</w:t>
      </w:r>
      <w:r>
        <w:rPr>
          <w:rFonts w:hint="eastAsia" w:ascii="仿宋_GB2312" w:eastAsia="仿宋_GB2312"/>
          <w:color w:val="000000" w:themeColor="text1"/>
          <w:sz w:val="32"/>
          <w:szCs w:val="32"/>
          <w:lang w:eastAsia="zh-CN"/>
        </w:rPr>
        <w:t>。打印区为密闭车间，打印和热转印工序产生的废气经收集至</w:t>
      </w:r>
      <w:r>
        <w:rPr>
          <w:rFonts w:hint="eastAsia" w:ascii="仿宋_GB2312" w:eastAsia="仿宋_GB2312"/>
          <w:color w:val="000000" w:themeColor="text1"/>
          <w:sz w:val="32"/>
          <w:szCs w:val="32"/>
          <w:lang w:val="en-US" w:eastAsia="zh-CN"/>
        </w:rPr>
        <w:t>“二级活性炭吸附装置”处理达标后，</w:t>
      </w:r>
      <w:r>
        <w:rPr>
          <w:rFonts w:hint="eastAsia" w:ascii="仿宋_GB2312" w:eastAsia="仿宋_GB2312"/>
          <w:color w:val="000000" w:themeColor="text1"/>
          <w:sz w:val="32"/>
          <w:szCs w:val="32"/>
          <w:lang w:eastAsia="zh-CN"/>
        </w:rPr>
        <w:t>通过</w:t>
      </w:r>
      <w:r>
        <w:rPr>
          <w:rFonts w:hint="eastAsia" w:ascii="仿宋_GB2312" w:eastAsia="仿宋_GB2312"/>
          <w:color w:val="000000" w:themeColor="text1"/>
          <w:sz w:val="32"/>
          <w:szCs w:val="32"/>
        </w:rPr>
        <w:t>不低于</w:t>
      </w:r>
      <w:r>
        <w:rPr>
          <w:rFonts w:hint="eastAsia" w:ascii="仿宋_GB2312" w:eastAsia="仿宋_GB2312"/>
          <w:color w:val="000000" w:themeColor="text1"/>
          <w:sz w:val="32"/>
          <w:szCs w:val="32"/>
          <w:lang w:val="en-US" w:eastAsia="zh-CN"/>
        </w:rPr>
        <w:t>15</w:t>
      </w:r>
      <w:r>
        <w:rPr>
          <w:rFonts w:hint="eastAsia" w:ascii="仿宋_GB2312" w:eastAsia="仿宋_GB2312"/>
          <w:color w:val="000000" w:themeColor="text1"/>
          <w:sz w:val="32"/>
          <w:szCs w:val="32"/>
        </w:rPr>
        <w:t>米</w:t>
      </w:r>
      <w:r>
        <w:rPr>
          <w:rFonts w:hint="eastAsia" w:ascii="仿宋_GB2312" w:eastAsia="仿宋_GB2312"/>
          <w:color w:val="000000" w:themeColor="text1"/>
          <w:sz w:val="32"/>
          <w:szCs w:val="32"/>
          <w:lang w:eastAsia="zh-CN"/>
        </w:rPr>
        <w:t>高的排气筒排放</w:t>
      </w:r>
      <w:r>
        <w:rPr>
          <w:rFonts w:hint="eastAsia" w:ascii="仿宋_GB2312" w:eastAsia="仿宋_GB2312"/>
          <w:color w:val="000000" w:themeColor="text1"/>
          <w:sz w:val="32"/>
          <w:szCs w:val="32"/>
        </w:rPr>
        <w:t>。项目设置废气排放口</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rPr>
        <w:t>个。</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hAnsi="仿宋_GB2312" w:eastAsia="仿宋_GB2312" w:cs="仿宋_GB2312"/>
          <w:color w:val="000000" w:themeColor="text1"/>
          <w:sz w:val="32"/>
          <w:szCs w:val="32"/>
        </w:rPr>
        <w:t>加强</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w:t>
      </w:r>
      <w:r>
        <w:rPr>
          <w:rFonts w:hint="eastAsia" w:ascii="仿宋_GB2312" w:hAnsi="仿宋_GB2312" w:eastAsia="仿宋_GB2312" w:cs="仿宋_GB2312"/>
          <w:color w:val="000000" w:themeColor="text1"/>
          <w:sz w:val="32"/>
          <w:szCs w:val="32"/>
          <w:lang w:eastAsia="zh-CN"/>
        </w:rPr>
        <w:t>排放</w:t>
      </w:r>
      <w:r>
        <w:rPr>
          <w:rFonts w:hint="eastAsia" w:ascii="仿宋_GB2312" w:hAnsi="仿宋_GB2312" w:eastAsia="仿宋_GB2312" w:cs="仿宋_GB2312"/>
          <w:color w:val="000000" w:themeColor="text1"/>
          <w:sz w:val="32"/>
          <w:szCs w:val="32"/>
        </w:rPr>
        <w:t>废气的监控，确保</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w:t>
      </w:r>
      <w:r>
        <w:rPr>
          <w:rFonts w:hint="eastAsia" w:ascii="仿宋_GB2312" w:hAnsi="仿宋_GB2312" w:eastAsia="仿宋_GB2312" w:cs="仿宋_GB2312"/>
          <w:color w:val="000000" w:themeColor="text1"/>
          <w:sz w:val="32"/>
          <w:szCs w:val="32"/>
          <w:lang w:eastAsia="zh-CN"/>
        </w:rPr>
        <w:t>排放</w:t>
      </w:r>
      <w:r>
        <w:rPr>
          <w:rFonts w:hint="eastAsia" w:ascii="仿宋_GB2312" w:hAnsi="仿宋_GB2312" w:eastAsia="仿宋_GB2312" w:cs="仿宋_GB2312"/>
          <w:color w:val="000000" w:themeColor="text1"/>
          <w:sz w:val="32"/>
          <w:szCs w:val="32"/>
        </w:rPr>
        <w:t>监控点的废气达到相应标准限值的要求，监测超标时应对无组织排放废气进行收集、净化处理。</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（三）选用低噪声设备，合理布设生产车间，对噪声源采取隔声、减振等措施，定期检修设备。</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（四）废活性炭、废含</w:t>
      </w:r>
      <w:r>
        <w:rPr>
          <w:rFonts w:hint="eastAsia" w:ascii="仿宋_GB2312" w:eastAsia="仿宋_GB2312"/>
          <w:color w:val="000000" w:themeColor="text1"/>
          <w:sz w:val="32"/>
          <w:szCs w:val="32"/>
          <w:lang w:eastAsia="zh-CN"/>
        </w:rPr>
        <w:t>墨水</w:t>
      </w:r>
      <w:r>
        <w:rPr>
          <w:rFonts w:hint="eastAsia" w:ascii="仿宋_GB2312" w:eastAsia="仿宋_GB2312"/>
          <w:color w:val="000000" w:themeColor="text1"/>
          <w:sz w:val="32"/>
          <w:szCs w:val="32"/>
        </w:rPr>
        <w:t>抹布、废</w:t>
      </w:r>
      <w:r>
        <w:rPr>
          <w:rFonts w:hint="eastAsia" w:ascii="仿宋_GB2312" w:eastAsia="仿宋_GB2312"/>
          <w:color w:val="000000" w:themeColor="text1"/>
          <w:sz w:val="32"/>
          <w:szCs w:val="32"/>
          <w:lang w:eastAsia="zh-CN"/>
        </w:rPr>
        <w:t>墨水、</w:t>
      </w:r>
      <w:r>
        <w:rPr>
          <w:rFonts w:hint="eastAsia" w:ascii="仿宋_GB2312" w:eastAsia="仿宋_GB2312"/>
          <w:color w:val="000000" w:themeColor="text1"/>
          <w:sz w:val="32"/>
          <w:szCs w:val="32"/>
        </w:rPr>
        <w:t>废</w:t>
      </w:r>
      <w:r>
        <w:rPr>
          <w:rFonts w:hint="eastAsia" w:ascii="仿宋_GB2312" w:eastAsia="仿宋_GB2312"/>
          <w:color w:val="000000" w:themeColor="text1"/>
          <w:sz w:val="32"/>
          <w:szCs w:val="32"/>
          <w:lang w:eastAsia="zh-CN"/>
        </w:rPr>
        <w:t>墨水</w:t>
      </w:r>
      <w:r>
        <w:rPr>
          <w:rFonts w:hint="eastAsia" w:ascii="仿宋_GB2312" w:eastAsia="仿宋_GB2312"/>
          <w:color w:val="000000" w:themeColor="text1"/>
          <w:sz w:val="32"/>
          <w:szCs w:val="32"/>
        </w:rPr>
        <w:t>桶等</w:t>
      </w:r>
      <w:r>
        <w:rPr>
          <w:rFonts w:hint="eastAsia" w:ascii="仿宋_GB2312" w:eastAsia="仿宋_GB2312"/>
          <w:color w:val="000000" w:themeColor="text1"/>
          <w:sz w:val="32"/>
          <w:szCs w:val="32"/>
          <w:lang w:eastAsia="zh-CN"/>
        </w:rPr>
        <w:t>属于</w:t>
      </w:r>
      <w:r>
        <w:rPr>
          <w:rFonts w:hint="eastAsia" w:ascii="仿宋_GB2312" w:eastAsia="仿宋_GB2312"/>
          <w:color w:val="000000" w:themeColor="text1"/>
          <w:sz w:val="32"/>
          <w:szCs w:val="32"/>
        </w:rPr>
        <w:t>危险废物</w:t>
      </w:r>
      <w:r>
        <w:rPr>
          <w:rFonts w:hint="eastAsia" w:ascii="仿宋_GB2312" w:eastAsia="仿宋_GB2312"/>
          <w:color w:val="000000" w:themeColor="text1"/>
          <w:sz w:val="32"/>
          <w:szCs w:val="32"/>
          <w:lang w:eastAsia="zh-CN"/>
        </w:rPr>
        <w:t>的</w:t>
      </w:r>
      <w:r>
        <w:rPr>
          <w:rFonts w:hint="eastAsia" w:ascii="仿宋_GB2312" w:eastAsia="仿宋_GB2312"/>
          <w:color w:val="000000" w:themeColor="text1"/>
          <w:sz w:val="32"/>
          <w:szCs w:val="32"/>
        </w:rPr>
        <w:t>须设置符合《危险废物贮存污染控制标准》（GB18597-2001）要求的专用贮存场所存放并委托具备危险废物处理资质的机构处理。</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四、该项目的性质、规模、地点、采用的生产工艺或者防治污染、防止生态破坏的措施发生重大变动的，你单位应当重新报批环境影响评价文件。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color w:val="000000" w:themeColor="text1"/>
          <w:sz w:val="32"/>
          <w:szCs w:val="32"/>
          <w:lang w:eastAsia="zh-CN"/>
        </w:rPr>
        <w:t>五</w:t>
      </w:r>
      <w:r>
        <w:rPr>
          <w:rFonts w:hint="eastAsia" w:ascii="仿宋_GB2312" w:eastAsia="仿宋_GB2312"/>
          <w:color w:val="000000" w:themeColor="text1"/>
          <w:sz w:val="32"/>
          <w:szCs w:val="32"/>
        </w:rPr>
        <w:t>、</w:t>
      </w:r>
      <w:r>
        <w:rPr>
          <w:rFonts w:hint="eastAsia" w:ascii="仿宋_GB2312" w:eastAsia="仿宋_GB2312"/>
          <w:sz w:val="32"/>
          <w:szCs w:val="32"/>
        </w:rPr>
        <w:t>自《报告表》批准之日起超过五年，方决定该项目开工建设的，《报告表》应当在开工建设前报我局重新审核。未经我局重新审核同意的，不得擅自开工建设。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000000" w:themeColor="text1"/>
          <w:sz w:val="32"/>
          <w:szCs w:val="32"/>
        </w:rPr>
      </w:pPr>
      <w:r>
        <w:rPr>
          <w:rFonts w:hint="eastAsia" w:ascii="仿宋_GB2312" w:eastAsia="仿宋_GB2312"/>
          <w:sz w:val="32"/>
          <w:szCs w:val="32"/>
        </w:rPr>
        <w:t>该项目应当在项目所在地《住所（经营场所）场地使用证明（环保类）》有效期内完成建设及投入使用；有效期届满仍未动工建设的，本批复自动失效。</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lang w:eastAsia="zh-CN"/>
        </w:rPr>
        <w:t>六、</w:t>
      </w:r>
      <w:r>
        <w:rPr>
          <w:rFonts w:hint="eastAsia" w:ascii="仿宋_GB2312" w:eastAsia="仿宋_GB2312"/>
          <w:color w:val="000000" w:themeColor="text1"/>
          <w:sz w:val="32"/>
          <w:szCs w:val="32"/>
        </w:rPr>
        <w:t>该项目建设应严格执行配套建设的环境保护设施与主体工程同时设计、同时施工、同时投产使用的环境保护“三同时”制度，具体要求如下：</w:t>
      </w:r>
    </w:p>
    <w:p>
      <w:pPr>
        <w:keepNext w:val="0"/>
        <w:keepLines w:val="0"/>
        <w:pageBreakBefore w:val="0"/>
        <w:widowControl/>
        <w:tabs>
          <w:tab w:val="left" w:pos="1418"/>
        </w:tabs>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（一）项目竣工后，建设单位应当按照国务院生态环境行政主管部门规定的标准和程序</w:t>
      </w:r>
      <w:r>
        <w:rPr>
          <w:rFonts w:hint="eastAsia" w:ascii="仿宋_GB2312" w:eastAsia="仿宋_GB2312"/>
          <w:color w:val="000000" w:themeColor="text1"/>
          <w:sz w:val="32"/>
          <w:szCs w:val="32"/>
          <w:lang w:eastAsia="zh-CN"/>
        </w:rPr>
        <w:t>、时限</w:t>
      </w:r>
      <w:r>
        <w:rPr>
          <w:rFonts w:hint="eastAsia" w:ascii="仿宋_GB2312" w:eastAsia="仿宋_GB2312"/>
          <w:color w:val="000000" w:themeColor="text1"/>
          <w:sz w:val="32"/>
          <w:szCs w:val="32"/>
        </w:rPr>
        <w:t>，对配套建设的环境保护设施进行验收，编制验收报告，依法向社会公开。</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（二）项目配套建设的环境保护设施经验收合格后，方可投入生产或者使用。</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lang w:eastAsia="zh-CN"/>
        </w:rPr>
        <w:t>七</w:t>
      </w:r>
      <w:r>
        <w:rPr>
          <w:rFonts w:hint="eastAsia" w:ascii="仿宋_GB2312" w:eastAsia="仿宋_GB2312"/>
          <w:color w:val="000000" w:themeColor="text1"/>
          <w:sz w:val="32"/>
          <w:szCs w:val="32"/>
        </w:rPr>
        <w:t>、该项目建设和运行过程中如涉及规划、土地利用、建设、水务、消防、安全等问题，应遵照相关法律法规要求到相应的行政主管部门办理有关手续。</w:t>
      </w:r>
    </w:p>
    <w:p>
      <w:pPr>
        <w:pStyle w:val="21"/>
        <w:keepNext w:val="0"/>
        <w:keepLines w:val="0"/>
        <w:pageBreakBefore w:val="0"/>
        <w:kinsoku/>
        <w:overflowPunct/>
        <w:topLinePunct w:val="0"/>
        <w:autoSpaceDE/>
        <w:autoSpaceDN/>
        <w:bidi w:val="0"/>
        <w:spacing w:line="560" w:lineRule="exact"/>
        <w:textAlignment w:val="auto"/>
        <w:rPr>
          <w:rFonts w:ascii="仿宋_GB2312" w:hAnsi="仿宋" w:eastAsia="仿宋_GB2312"/>
          <w:color w:val="000000" w:themeColor="text1"/>
          <w:sz w:val="32"/>
        </w:rPr>
      </w:pPr>
      <w:r>
        <w:rPr>
          <w:rFonts w:hint="eastAsia" w:ascii="仿宋_GB2312" w:eastAsia="仿宋_GB2312"/>
          <w:color w:val="000000" w:themeColor="text1"/>
          <w:sz w:val="32"/>
          <w:szCs w:val="32"/>
        </w:rPr>
        <w:t xml:space="preserve">   </w:t>
      </w:r>
      <w:r>
        <w:rPr>
          <w:rFonts w:hint="eastAsia" w:ascii="仿宋_GB2312" w:eastAsia="仿宋_GB2312"/>
          <w:color w:val="000000" w:themeColor="text1"/>
          <w:sz w:val="32"/>
          <w:szCs w:val="32"/>
          <w:lang w:eastAsia="zh-CN"/>
        </w:rPr>
        <w:t>八</w:t>
      </w:r>
      <w:r>
        <w:rPr>
          <w:rFonts w:hint="eastAsia" w:ascii="仿宋_GB2312" w:eastAsia="仿宋_GB2312"/>
          <w:color w:val="000000" w:themeColor="text1"/>
          <w:sz w:val="32"/>
          <w:szCs w:val="32"/>
        </w:rPr>
        <w:t>、</w:t>
      </w:r>
      <w:r>
        <w:rPr>
          <w:rFonts w:hint="eastAsia" w:ascii="仿宋_GB2312" w:hAnsi="仿宋" w:eastAsia="仿宋_GB2312"/>
          <w:color w:val="auto"/>
          <w:sz w:val="32"/>
        </w:rPr>
        <w:t>如不服本行政许可决定，你单位可在接到本行政许可决定之日起60日内向</w:t>
      </w:r>
      <w:r>
        <w:rPr>
          <w:rFonts w:hint="eastAsia" w:ascii="仿宋_GB2312" w:eastAsia="仿宋_GB2312"/>
          <w:color w:val="auto"/>
          <w:sz w:val="32"/>
          <w:szCs w:val="32"/>
        </w:rPr>
        <w:t>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w:t>
      </w:r>
      <w:r>
        <w:rPr>
          <w:rFonts w:hint="eastAsia" w:ascii="仿宋_GB2312" w:eastAsia="仿宋_GB2312"/>
          <w:color w:val="000000" w:themeColor="text1"/>
          <w:sz w:val="32"/>
          <w:szCs w:val="32"/>
          <w:lang w:val="en-US" w:eastAsia="zh-CN"/>
        </w:rPr>
        <w:t xml:space="preserve">  </w:t>
      </w:r>
      <w:r>
        <w:rPr>
          <w:rFonts w:hint="eastAsia" w:ascii="仿宋_GB2312" w:eastAsia="仿宋_GB2312"/>
          <w:color w:val="000000" w:themeColor="text1"/>
          <w:sz w:val="32"/>
          <w:szCs w:val="32"/>
        </w:rPr>
        <w:t xml:space="preserve">  广州市生态环境局</w:t>
      </w:r>
    </w:p>
    <w:p>
      <w:pPr>
        <w:keepNext w:val="0"/>
        <w:keepLines w:val="0"/>
        <w:pageBreakBefore w:val="0"/>
        <w:kinsoku/>
        <w:overflowPunct/>
        <w:topLinePunct w:val="0"/>
        <w:autoSpaceDE/>
        <w:autoSpaceDN/>
        <w:bidi w:val="0"/>
        <w:spacing w:line="560" w:lineRule="exact"/>
        <w:ind w:firstLine="5440" w:firstLineChars="17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20</w:t>
      </w:r>
      <w:r>
        <w:rPr>
          <w:rFonts w:hint="eastAsia" w:ascii="仿宋_GB2312" w:eastAsia="仿宋_GB2312"/>
          <w:color w:val="000000" w:themeColor="text1"/>
          <w:sz w:val="32"/>
          <w:szCs w:val="32"/>
          <w:lang w:val="en-US" w:eastAsia="zh-CN"/>
        </w:rPr>
        <w:t>21</w:t>
      </w:r>
      <w:r>
        <w:rPr>
          <w:rFonts w:hint="eastAsia" w:ascii="仿宋_GB2312" w:eastAsia="仿宋_GB2312"/>
          <w:color w:val="000000" w:themeColor="text1"/>
          <w:sz w:val="32"/>
          <w:szCs w:val="32"/>
        </w:rPr>
        <w:t>年</w:t>
      </w:r>
      <w:r>
        <w:rPr>
          <w:rFonts w:hint="eastAsia" w:ascii="仿宋_GB2312" w:eastAsia="仿宋_GB2312"/>
          <w:color w:val="000000" w:themeColor="text1"/>
          <w:sz w:val="32"/>
          <w:szCs w:val="32"/>
          <w:lang w:val="en-US" w:eastAsia="zh-CN"/>
        </w:rPr>
        <w:t>7</w:t>
      </w:r>
      <w:r>
        <w:rPr>
          <w:rFonts w:hint="eastAsia" w:ascii="仿宋_GB2312" w:eastAsia="仿宋_GB2312"/>
          <w:color w:val="000000" w:themeColor="text1"/>
          <w:sz w:val="32"/>
          <w:szCs w:val="32"/>
        </w:rPr>
        <w:t>月</w:t>
      </w:r>
      <w:r>
        <w:rPr>
          <w:rFonts w:hint="eastAsia" w:ascii="仿宋_GB2312" w:eastAsia="仿宋_GB2312"/>
          <w:color w:val="000000" w:themeColor="text1"/>
          <w:sz w:val="32"/>
          <w:szCs w:val="32"/>
          <w:lang w:val="en-US" w:eastAsia="zh-CN"/>
        </w:rPr>
        <w:t>27</w:t>
      </w:r>
      <w:r>
        <w:rPr>
          <w:rFonts w:hint="eastAsia" w:ascii="仿宋_GB2312" w:eastAsia="仿宋_GB2312"/>
          <w:color w:val="000000" w:themeColor="text1"/>
          <w:sz w:val="32"/>
          <w:szCs w:val="32"/>
        </w:rPr>
        <w:t>日</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bookmarkStart w:id="0" w:name="_GoBack"/>
      <w:bookmarkEnd w:id="0"/>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黑体" w:eastAsia="黑体"/>
          <w:color w:val="000000" w:themeColor="text1"/>
          <w:sz w:val="32"/>
          <w:szCs w:val="32"/>
        </w:rPr>
        <w:t>公开方式：</w:t>
      </w:r>
      <w:r>
        <w:rPr>
          <w:rFonts w:hint="eastAsia" w:ascii="仿宋_GB2312" w:eastAsia="仿宋_GB2312"/>
          <w:color w:val="000000" w:themeColor="text1"/>
          <w:sz w:val="32"/>
          <w:szCs w:val="32"/>
        </w:rPr>
        <w:t>主动公开</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ind w:left="1133" w:leftChars="201" w:hanging="711" w:hangingChars="254"/>
        <w:textAlignment w:val="auto"/>
        <w:rPr>
          <w:rFonts w:ascii="仿宋_GB2312" w:eastAsia="仿宋_GB2312"/>
          <w:color w:val="000000" w:themeColor="text1"/>
          <w:sz w:val="28"/>
          <w:szCs w:val="28"/>
        </w:rPr>
      </w:pPr>
      <w:r>
        <w:rPr>
          <w:rFonts w:hint="eastAsia" w:ascii="仿宋_GB2312" w:eastAsia="仿宋_GB2312"/>
          <w:color w:val="000000" w:themeColor="text1"/>
          <w:sz w:val="28"/>
          <w:szCs w:val="28"/>
        </w:rPr>
        <w:t>抄送：广州市生态环境局番禺分局执法大队、第</w:t>
      </w:r>
      <w:r>
        <w:rPr>
          <w:rFonts w:hint="eastAsia" w:ascii="仿宋_GB2312" w:eastAsia="仿宋_GB2312"/>
          <w:color w:val="000000" w:themeColor="text1"/>
          <w:sz w:val="28"/>
          <w:szCs w:val="28"/>
          <w:lang w:eastAsia="zh-CN"/>
        </w:rPr>
        <w:t>二</w:t>
      </w:r>
      <w:r>
        <w:rPr>
          <w:rFonts w:hint="eastAsia" w:ascii="仿宋_GB2312" w:eastAsia="仿宋_GB2312"/>
          <w:color w:val="000000" w:themeColor="text1"/>
          <w:sz w:val="28"/>
          <w:szCs w:val="28"/>
        </w:rPr>
        <w:t>环境保护所，广州市共融环境工程有限公司。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2"/>
        <w:rFonts w:ascii="宋体" w:hAnsi="宋体"/>
        <w:sz w:val="28"/>
        <w:szCs w:val="28"/>
      </w:rPr>
    </w:pPr>
    <w:r>
      <w:rPr>
        <w:rStyle w:val="12"/>
        <w:rFonts w:hint="eastAsia" w:ascii="宋体" w:hAnsi="宋体"/>
        <w:sz w:val="28"/>
        <w:szCs w:val="28"/>
      </w:rPr>
      <w:t xml:space="preserve">— </w:t>
    </w:r>
    <w:r>
      <w:rPr>
        <w:rStyle w:val="12"/>
        <w:rFonts w:ascii="宋体" w:hAnsi="宋体"/>
        <w:sz w:val="28"/>
        <w:szCs w:val="28"/>
      </w:rPr>
      <w:fldChar w:fldCharType="begin"/>
    </w:r>
    <w:r>
      <w:rPr>
        <w:rStyle w:val="12"/>
        <w:rFonts w:ascii="宋体" w:hAnsi="宋体"/>
        <w:sz w:val="28"/>
        <w:szCs w:val="28"/>
      </w:rPr>
      <w:instrText xml:space="preserve">PAGE  </w:instrText>
    </w:r>
    <w:r>
      <w:rPr>
        <w:rStyle w:val="12"/>
        <w:rFonts w:ascii="宋体" w:hAnsi="宋体"/>
        <w:sz w:val="28"/>
        <w:szCs w:val="28"/>
      </w:rPr>
      <w:fldChar w:fldCharType="separate"/>
    </w:r>
    <w:r>
      <w:rPr>
        <w:rStyle w:val="12"/>
        <w:rFonts w:ascii="宋体" w:hAnsi="宋体"/>
        <w:sz w:val="28"/>
        <w:szCs w:val="28"/>
      </w:rPr>
      <w:t>3</w:t>
    </w:r>
    <w:r>
      <w:rPr>
        <w:rStyle w:val="12"/>
        <w:rFonts w:ascii="宋体" w:hAnsi="宋体"/>
        <w:sz w:val="28"/>
        <w:szCs w:val="28"/>
      </w:rPr>
      <w:fldChar w:fldCharType="end"/>
    </w:r>
    <w:r>
      <w:rPr>
        <w:rStyle w:val="12"/>
        <w:rFonts w:hint="eastAsia" w:ascii="宋体" w:hAnsi="宋体"/>
        <w:sz w:val="28"/>
        <w:szCs w:val="28"/>
      </w:rPr>
      <w:t xml:space="preserve"> —</w:t>
    </w:r>
  </w:p>
  <w:p>
    <w:pPr>
      <w:pStyle w:val="7"/>
      <w:ind w:right="360" w:firstLine="360"/>
      <w:jc w:val="center"/>
      <w:rPr>
        <w:rFonts w:ascii="Times New Roman" w:hAnsi="Times New Roman"/>
        <w:sz w:val="28"/>
        <w:szCs w:val="28"/>
      </w:rPr>
    </w:pP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2"/>
      </w:rPr>
    </w:pPr>
    <w:r>
      <w:rPr>
        <w:rStyle w:val="12"/>
      </w:rPr>
      <w:fldChar w:fldCharType="begin"/>
    </w:r>
    <w:r>
      <w:rPr>
        <w:rStyle w:val="12"/>
      </w:rPr>
      <w:instrText xml:space="preserve">PAGE  </w:instrText>
    </w:r>
    <w:r>
      <w:rPr>
        <w:rStyle w:val="12"/>
      </w:rPr>
      <w:fldChar w:fldCharType="end"/>
    </w:r>
  </w:p>
  <w:p>
    <w:pPr>
      <w:pStyle w:val="7"/>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54767E5"/>
    <w:rsid w:val="10BF38FB"/>
    <w:rsid w:val="12737E91"/>
    <w:rsid w:val="12DA5DA1"/>
    <w:rsid w:val="20CF4E76"/>
    <w:rsid w:val="2CF752A1"/>
    <w:rsid w:val="2DB172AD"/>
    <w:rsid w:val="2EDC0677"/>
    <w:rsid w:val="307C5365"/>
    <w:rsid w:val="30A22B85"/>
    <w:rsid w:val="332F1512"/>
    <w:rsid w:val="35F85133"/>
    <w:rsid w:val="38EB77CC"/>
    <w:rsid w:val="3AE822E0"/>
    <w:rsid w:val="3CC7607D"/>
    <w:rsid w:val="405C5F40"/>
    <w:rsid w:val="41171C7F"/>
    <w:rsid w:val="41BE50D2"/>
    <w:rsid w:val="42595B1A"/>
    <w:rsid w:val="4F586ABA"/>
    <w:rsid w:val="58272CFA"/>
    <w:rsid w:val="58820401"/>
    <w:rsid w:val="59F57B8E"/>
    <w:rsid w:val="5A00069E"/>
    <w:rsid w:val="62973EAF"/>
    <w:rsid w:val="6B2F71CC"/>
    <w:rsid w:val="73417714"/>
    <w:rsid w:val="77A5337F"/>
    <w:rsid w:val="79525A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4"/>
    <w:qFormat/>
    <w:uiPriority w:val="0"/>
    <w:pPr>
      <w:autoSpaceDE w:val="0"/>
      <w:autoSpaceDN w:val="0"/>
    </w:pPr>
    <w:rPr>
      <w:rFonts w:ascii="宋体" w:hAnsi="Times New Roman"/>
      <w:color w:val="000000"/>
      <w:szCs w:val="24"/>
    </w:rPr>
  </w:style>
  <w:style w:type="paragraph" w:customStyle="1" w:styleId="3">
    <w:name w:val="纯文本1"/>
    <w:basedOn w:val="1"/>
    <w:qFormat/>
    <w:uiPriority w:val="0"/>
    <w:pPr>
      <w:adjustRightInd w:val="0"/>
    </w:pPr>
    <w:rPr>
      <w:rFonts w:hAnsi="Courier New"/>
      <w:szCs w:val="20"/>
    </w:rPr>
  </w:style>
  <w:style w:type="paragraph" w:customStyle="1" w:styleId="4">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5">
    <w:name w:val="annotation text"/>
    <w:basedOn w:val="1"/>
    <w:link w:val="17"/>
    <w:semiHidden/>
    <w:unhideWhenUsed/>
    <w:qFormat/>
    <w:uiPriority w:val="99"/>
    <w:pPr>
      <w:jc w:val="left"/>
    </w:pPr>
  </w:style>
  <w:style w:type="paragraph" w:styleId="6">
    <w:name w:val="Balloon Text"/>
    <w:basedOn w:val="1"/>
    <w:link w:val="19"/>
    <w:semiHidden/>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5"/>
    <w:next w:val="5"/>
    <w:link w:val="18"/>
    <w:semiHidden/>
    <w:unhideWhenUsed/>
    <w:qFormat/>
    <w:uiPriority w:val="99"/>
    <w:rPr>
      <w:b/>
      <w:bCs/>
    </w:rPr>
  </w:style>
  <w:style w:type="character" w:styleId="12">
    <w:name w:val="page number"/>
    <w:basedOn w:val="11"/>
    <w:qFormat/>
    <w:uiPriority w:val="0"/>
  </w:style>
  <w:style w:type="character" w:styleId="13">
    <w:name w:val="annotation reference"/>
    <w:basedOn w:val="11"/>
    <w:semiHidden/>
    <w:unhideWhenUsed/>
    <w:qFormat/>
    <w:uiPriority w:val="99"/>
    <w:rPr>
      <w:sz w:val="21"/>
      <w:szCs w:val="21"/>
    </w:rPr>
  </w:style>
  <w:style w:type="character" w:customStyle="1" w:styleId="14">
    <w:name w:val="页眉 Char"/>
    <w:basedOn w:val="11"/>
    <w:link w:val="8"/>
    <w:semiHidden/>
    <w:qFormat/>
    <w:uiPriority w:val="99"/>
    <w:rPr>
      <w:kern w:val="2"/>
      <w:sz w:val="18"/>
      <w:szCs w:val="18"/>
    </w:rPr>
  </w:style>
  <w:style w:type="character" w:customStyle="1" w:styleId="15">
    <w:name w:val="页脚 Char"/>
    <w:basedOn w:val="11"/>
    <w:link w:val="7"/>
    <w:qFormat/>
    <w:uiPriority w:val="99"/>
    <w:rPr>
      <w:kern w:val="2"/>
      <w:sz w:val="18"/>
      <w:szCs w:val="18"/>
    </w:rPr>
  </w:style>
  <w:style w:type="paragraph" w:customStyle="1" w:styleId="16">
    <w:name w:val="Char1"/>
    <w:basedOn w:val="1"/>
    <w:qFormat/>
    <w:uiPriority w:val="0"/>
    <w:pPr>
      <w:tabs>
        <w:tab w:val="left" w:pos="840"/>
      </w:tabs>
      <w:ind w:left="840" w:hanging="420"/>
    </w:pPr>
    <w:rPr>
      <w:rFonts w:ascii="Times New Roman" w:hAnsi="Times New Roman"/>
      <w:sz w:val="24"/>
      <w:szCs w:val="24"/>
    </w:rPr>
  </w:style>
  <w:style w:type="character" w:customStyle="1" w:styleId="17">
    <w:name w:val="批注文字 Char"/>
    <w:basedOn w:val="11"/>
    <w:link w:val="5"/>
    <w:semiHidden/>
    <w:qFormat/>
    <w:uiPriority w:val="99"/>
    <w:rPr>
      <w:kern w:val="2"/>
      <w:sz w:val="21"/>
      <w:szCs w:val="22"/>
    </w:rPr>
  </w:style>
  <w:style w:type="character" w:customStyle="1" w:styleId="18">
    <w:name w:val="批注主题 Char"/>
    <w:basedOn w:val="17"/>
    <w:link w:val="9"/>
    <w:semiHidden/>
    <w:qFormat/>
    <w:uiPriority w:val="99"/>
    <w:rPr>
      <w:b/>
      <w:bCs/>
    </w:rPr>
  </w:style>
  <w:style w:type="character" w:customStyle="1" w:styleId="19">
    <w:name w:val="批注框文本 Char"/>
    <w:basedOn w:val="11"/>
    <w:link w:val="6"/>
    <w:semiHidden/>
    <w:qFormat/>
    <w:uiPriority w:val="99"/>
    <w:rPr>
      <w:kern w:val="2"/>
      <w:sz w:val="18"/>
      <w:szCs w:val="18"/>
    </w:rPr>
  </w:style>
  <w:style w:type="paragraph" w:customStyle="1" w:styleId="20">
    <w:name w:val="Revision"/>
    <w:hidden/>
    <w:semiHidden/>
    <w:qFormat/>
    <w:uiPriority w:val="99"/>
    <w:rPr>
      <w:rFonts w:ascii="Calibri" w:hAnsi="Calibri" w:eastAsia="宋体" w:cs="Times New Roman"/>
      <w:kern w:val="2"/>
      <w:sz w:val="21"/>
      <w:szCs w:val="22"/>
      <w:lang w:val="en-US" w:eastAsia="zh-CN" w:bidi="ar-SA"/>
    </w:rPr>
  </w:style>
  <w:style w:type="paragraph" w:customStyle="1" w:styleId="21">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1846</Words>
  <Characters>1994</Characters>
  <Lines>19</Lines>
  <Paragraphs>5</Paragraphs>
  <TotalTime>49</TotalTime>
  <ScaleCrop>false</ScaleCrop>
  <LinksUpToDate>false</LinksUpToDate>
  <CharactersWithSpaces>2067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Administrator</cp:lastModifiedBy>
  <cp:lastPrinted>2021-06-04T02:50:00Z</cp:lastPrinted>
  <dcterms:modified xsi:type="dcterms:W3CDTF">2021-07-28T01:48:37Z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2052-11.1.0.10314</vt:lpwstr>
  </property>
  <property fmtid="{D5CDD505-2E9C-101B-9397-08002B2CF9AE}" pid="4" name="ICV">
    <vt:lpwstr>BBFA2835B9744A27B53B1191814D113E</vt:lpwstr>
  </property>
</Properties>
</file>