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before="50" w:beforeLines="0" w:after="292" w:afterLines="50" w:line="480" w:lineRule="exact"/>
        <w:ind w:left="0" w:leftChars="0" w:right="0" w:rightChars="0" w:firstLine="0" w:firstLineChars="0"/>
        <w:jc w:val="center"/>
        <w:textAlignment w:val="auto"/>
        <w:outlineLvl w:val="9"/>
        <w:rPr>
          <w:rFonts w:hint="eastAsia" w:ascii="Times New Roman" w:hAnsi="Times New Roman" w:eastAsia="仿宋_GB2312" w:cs="方正小标宋"/>
          <w:b/>
          <w:bCs/>
          <w:kern w:val="2"/>
          <w:sz w:val="52"/>
          <w:szCs w:val="52"/>
          <w:u w:val="none"/>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before="50" w:beforeLines="0" w:after="292" w:afterLines="50" w:line="480" w:lineRule="exact"/>
        <w:ind w:left="0" w:leftChars="0" w:right="0" w:rightChars="0" w:firstLine="0" w:firstLineChars="0"/>
        <w:jc w:val="center"/>
        <w:textAlignment w:val="auto"/>
        <w:outlineLvl w:val="9"/>
        <w:rPr>
          <w:rFonts w:hint="eastAsia" w:ascii="Times New Roman" w:hAnsi="Times New Roman" w:eastAsia="仿宋_GB2312" w:cs="方正小标宋"/>
          <w:b/>
          <w:bCs/>
          <w:kern w:val="2"/>
          <w:sz w:val="52"/>
          <w:szCs w:val="52"/>
          <w:u w:val="none"/>
          <w:vertAlign w:val="baseline"/>
          <w:lang w:val="en-US" w:eastAsia="zh-CN"/>
        </w:rPr>
      </w:pPr>
    </w:p>
    <w:p>
      <w:pPr>
        <w:autoSpaceDE/>
        <w:autoSpaceDN/>
        <w:spacing w:line="580" w:lineRule="exact"/>
        <w:jc w:val="center"/>
        <w:rPr>
          <w:rFonts w:hint="eastAsia" w:ascii="方正小标宋简体" w:hAnsi="宋体" w:eastAsia="方正小标宋简体" w:cs="Times New Roman"/>
          <w:kern w:val="2"/>
          <w:sz w:val="44"/>
          <w:szCs w:val="44"/>
          <w:lang w:val="en-US"/>
        </w:rPr>
      </w:pPr>
      <w:r>
        <w:rPr>
          <w:rFonts w:hint="eastAsia" w:ascii="方正小标宋简体" w:hAnsi="宋体" w:eastAsia="方正小标宋简体" w:cs="Times New Roman"/>
          <w:kern w:val="2"/>
          <w:sz w:val="44"/>
          <w:szCs w:val="44"/>
          <w:lang w:val="en-US" w:eastAsia="zh-CN"/>
        </w:rPr>
        <w:t>广州市生态环境局</w:t>
      </w:r>
      <w:r>
        <w:rPr>
          <w:rFonts w:hint="eastAsia" w:ascii="方正小标宋简体" w:hAnsi="宋体" w:eastAsia="方正小标宋简体" w:cs="Times New Roman"/>
          <w:kern w:val="2"/>
          <w:sz w:val="44"/>
          <w:szCs w:val="44"/>
          <w:lang w:val="en-US"/>
        </w:rPr>
        <w:t>行政处罚决定书</w:t>
      </w:r>
    </w:p>
    <w:p>
      <w:pPr>
        <w:pStyle w:val="2"/>
        <w:ind w:left="0" w:leftChars="0" w:firstLine="0" w:firstLineChars="0"/>
        <w:jc w:val="both"/>
        <w:rPr>
          <w:sz w:val="32"/>
          <w:szCs w:val="32"/>
        </w:rPr>
      </w:pPr>
    </w:p>
    <w:p>
      <w:pPr>
        <w:pStyle w:val="4"/>
        <w:spacing w:before="66" w:line="360" w:lineRule="auto"/>
        <w:ind w:right="480"/>
        <w:jc w:val="right"/>
        <w:rPr>
          <w:rFonts w:ascii="Times New Roman" w:hAnsi="Times New Roman" w:eastAsia="仿宋_GB2312"/>
          <w:sz w:val="32"/>
          <w:szCs w:val="32"/>
        </w:rPr>
      </w:pPr>
      <w:r>
        <w:rPr>
          <w:rFonts w:ascii="Times New Roman" w:hAnsi="Times New Roman" w:eastAsia="仿宋_GB2312"/>
          <w:sz w:val="32"/>
          <w:szCs w:val="32"/>
        </w:rPr>
        <w:t xml:space="preserve">                           </w:t>
      </w:r>
      <w:r>
        <w:rPr>
          <w:rFonts w:hint="eastAsia" w:ascii="Times New Roman" w:hAnsi="Times New Roman" w:eastAsia="仿宋_GB2312"/>
          <w:sz w:val="32"/>
          <w:szCs w:val="32"/>
        </w:rPr>
        <w:t>穗</w:t>
      </w:r>
      <w:r>
        <w:rPr>
          <w:rFonts w:hint="eastAsia" w:ascii="Times New Roman" w:hAnsi="Times New Roman" w:eastAsia="仿宋_GB2312" w:cs="仿宋"/>
          <w:sz w:val="32"/>
          <w:szCs w:val="32"/>
        </w:rPr>
        <w:t>环（</w:t>
      </w:r>
      <w:r>
        <w:rPr>
          <w:rFonts w:hint="eastAsia" w:ascii="Times New Roman" w:hAnsi="Times New Roman" w:eastAsia="仿宋_GB2312" w:cs="仿宋"/>
          <w:sz w:val="32"/>
          <w:szCs w:val="32"/>
          <w:lang w:val="en-US" w:eastAsia="zh-CN"/>
        </w:rPr>
        <w:t>番</w:t>
      </w:r>
      <w:r>
        <w:rPr>
          <w:rFonts w:hint="eastAsia" w:ascii="Times New Roman" w:hAnsi="Times New Roman" w:eastAsia="仿宋_GB2312" w:cs="仿宋"/>
          <w:sz w:val="32"/>
          <w:szCs w:val="32"/>
        </w:rPr>
        <w:t>）法罚</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21</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6</w:t>
      </w:r>
      <w:r>
        <w:rPr>
          <w:rFonts w:hint="eastAsia" w:ascii="Times New Roman" w:hAnsi="Times New Roman" w:eastAsia="仿宋_GB2312" w:cs="仿宋"/>
          <w:sz w:val="32"/>
          <w:szCs w:val="32"/>
        </w:rPr>
        <w:t>号</w:t>
      </w:r>
    </w:p>
    <w:p>
      <w:pPr>
        <w:pStyle w:val="4"/>
        <w:keepNext w:val="0"/>
        <w:keepLines w:val="0"/>
        <w:pageBreakBefore w:val="0"/>
        <w:widowControl w:val="0"/>
        <w:tabs>
          <w:tab w:val="left" w:pos="7382"/>
          <w:tab w:val="left" w:pos="7982"/>
        </w:tabs>
        <w:kinsoku/>
        <w:wordWrap/>
        <w:overflowPunct/>
        <w:topLinePunct w:val="0"/>
        <w:autoSpaceDE w:val="0"/>
        <w:autoSpaceDN w:val="0"/>
        <w:bidi w:val="0"/>
        <w:adjustRightInd/>
        <w:snapToGrid/>
        <w:spacing w:line="480" w:lineRule="exact"/>
        <w:ind w:right="0"/>
        <w:jc w:val="left"/>
        <w:textAlignment w:val="auto"/>
        <w:rPr>
          <w:rFonts w:hint="eastAsia" w:ascii="Times New Roman" w:hAnsi="Times New Roman" w:eastAsia="仿宋_GB2312" w:cs="宋体"/>
          <w:sz w:val="32"/>
          <w:szCs w:val="32"/>
          <w:u w:val="none"/>
          <w:lang w:val="en-US"/>
        </w:rPr>
      </w:pPr>
    </w:p>
    <w:p>
      <w:pPr>
        <w:pStyle w:val="4"/>
        <w:keepNext w:val="0"/>
        <w:keepLines w:val="0"/>
        <w:pageBreakBefore w:val="0"/>
        <w:widowControl w:val="0"/>
        <w:tabs>
          <w:tab w:val="left" w:pos="7382"/>
          <w:tab w:val="left" w:pos="7982"/>
        </w:tabs>
        <w:kinsoku/>
        <w:wordWrap/>
        <w:overflowPunct/>
        <w:topLinePunct w:val="0"/>
        <w:autoSpaceDE w:val="0"/>
        <w:autoSpaceDN w:val="0"/>
        <w:bidi w:val="0"/>
        <w:adjustRightInd/>
        <w:snapToGrid/>
        <w:spacing w:line="500" w:lineRule="exact"/>
        <w:ind w:right="0"/>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当事人：龙元建设集团股份有限公司</w:t>
      </w:r>
    </w:p>
    <w:p>
      <w:pPr>
        <w:pStyle w:val="4"/>
        <w:keepNext w:val="0"/>
        <w:keepLines w:val="0"/>
        <w:pageBreakBefore w:val="0"/>
        <w:widowControl w:val="0"/>
        <w:tabs>
          <w:tab w:val="left" w:pos="7382"/>
          <w:tab w:val="left" w:pos="7982"/>
        </w:tabs>
        <w:kinsoku/>
        <w:overflowPunct/>
        <w:topLinePunct w:val="0"/>
        <w:bidi w:val="0"/>
        <w:adjustRightInd/>
        <w:spacing w:line="480" w:lineRule="exact"/>
        <w:ind w:right="962"/>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统一社会信用代码：91330000704203949A</w:t>
      </w:r>
    </w:p>
    <w:p>
      <w:pPr>
        <w:pStyle w:val="4"/>
        <w:keepNext w:val="0"/>
        <w:keepLines w:val="0"/>
        <w:pageBreakBefore w:val="0"/>
        <w:widowControl w:val="0"/>
        <w:tabs>
          <w:tab w:val="left" w:pos="7382"/>
          <w:tab w:val="left" w:pos="7982"/>
        </w:tabs>
        <w:kinsoku/>
        <w:wordWrap/>
        <w:overflowPunct/>
        <w:topLinePunct w:val="0"/>
        <w:autoSpaceDE w:val="0"/>
        <w:autoSpaceDN w:val="0"/>
        <w:bidi w:val="0"/>
        <w:adjustRightInd/>
        <w:snapToGrid/>
        <w:spacing w:line="480" w:lineRule="exact"/>
        <w:ind w:right="0"/>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 xml:space="preserve">登记地址：浙江省象山县丹城新丰路165号 </w:t>
      </w:r>
    </w:p>
    <w:p>
      <w:pPr>
        <w:pStyle w:val="4"/>
        <w:keepNext w:val="0"/>
        <w:keepLines w:val="0"/>
        <w:pageBreakBefore w:val="0"/>
        <w:widowControl w:val="0"/>
        <w:tabs>
          <w:tab w:val="left" w:pos="7382"/>
          <w:tab w:val="left" w:pos="7982"/>
        </w:tabs>
        <w:kinsoku/>
        <w:overflowPunct/>
        <w:topLinePunct w:val="0"/>
        <w:bidi w:val="0"/>
        <w:adjustRightInd/>
        <w:spacing w:line="480" w:lineRule="exact"/>
        <w:ind w:right="962"/>
        <w:jc w:val="both"/>
        <w:textAlignment w:val="auto"/>
        <w:rPr>
          <w:rFonts w:hint="eastAsia" w:ascii="Times New Roman" w:hAnsi="Times New Roman" w:eastAsia="仿宋_GB2312" w:cs="宋体"/>
          <w:sz w:val="32"/>
          <w:szCs w:val="32"/>
          <w:u w:val="none"/>
          <w:lang w:val="en-US"/>
        </w:rPr>
      </w:pPr>
    </w:p>
    <w:p>
      <w:pPr>
        <w:pStyle w:val="4"/>
        <w:keepNext w:val="0"/>
        <w:keepLines w:val="0"/>
        <w:pageBreakBefore w:val="0"/>
        <w:widowControl w:val="0"/>
        <w:tabs>
          <w:tab w:val="left" w:pos="7382"/>
          <w:tab w:val="left" w:pos="7982"/>
        </w:tabs>
        <w:kinsoku/>
        <w:overflowPunct/>
        <w:topLinePunct w:val="0"/>
        <w:bidi w:val="0"/>
        <w:adjustRightInd/>
        <w:spacing w:line="480" w:lineRule="exact"/>
        <w:ind w:right="962" w:firstLine="640" w:firstLineChars="200"/>
        <w:jc w:val="both"/>
        <w:textAlignment w:val="auto"/>
        <w:rPr>
          <w:rFonts w:hint="eastAsia" w:ascii="黑体" w:hAnsi="黑体" w:eastAsia="黑体" w:cs="黑体"/>
          <w:b w:val="0"/>
          <w:bCs w:val="0"/>
          <w:sz w:val="32"/>
          <w:szCs w:val="32"/>
          <w:u w:val="none"/>
          <w:lang w:val="en-US"/>
        </w:rPr>
      </w:pPr>
      <w:r>
        <w:rPr>
          <w:rFonts w:hint="eastAsia" w:ascii="黑体" w:hAnsi="黑体" w:eastAsia="黑体" w:cs="黑体"/>
          <w:b w:val="0"/>
          <w:bCs w:val="0"/>
          <w:sz w:val="32"/>
          <w:szCs w:val="32"/>
          <w:u w:val="none"/>
          <w:lang w:val="en-US"/>
        </w:rPr>
        <w:t>一、当事人基本情况及违法事实情况</w:t>
      </w:r>
    </w:p>
    <w:p>
      <w:pPr>
        <w:pStyle w:val="4"/>
        <w:keepNext w:val="0"/>
        <w:keepLines w:val="0"/>
        <w:pageBreakBefore w:val="0"/>
        <w:widowControl w:val="0"/>
        <w:tabs>
          <w:tab w:val="left" w:pos="8080"/>
          <w:tab w:val="left" w:pos="8222"/>
        </w:tabs>
        <w:kinsoku/>
        <w:overflowPunct/>
        <w:topLinePunct w:val="0"/>
        <w:bidi w:val="0"/>
        <w:adjustRightInd/>
        <w:spacing w:line="480" w:lineRule="exact"/>
        <w:ind w:right="226" w:firstLine="640" w:firstLineChars="200"/>
        <w:jc w:val="both"/>
        <w:textAlignment w:val="auto"/>
        <w:rPr>
          <w:rFonts w:hint="eastAsia" w:ascii="Times New Roman" w:hAnsi="Times New Roman" w:eastAsia="仿宋_GB2312" w:cs="宋体"/>
          <w:sz w:val="32"/>
          <w:szCs w:val="32"/>
          <w:u w:val="none"/>
          <w:lang w:val="en-US" w:eastAsia="zh-CN"/>
        </w:rPr>
      </w:pPr>
      <w:r>
        <w:rPr>
          <w:rFonts w:hint="eastAsia" w:ascii="Times New Roman" w:hAnsi="Times New Roman" w:eastAsia="仿宋_GB2312" w:cs="宋体"/>
          <w:sz w:val="32"/>
          <w:szCs w:val="32"/>
          <w:u w:val="none"/>
          <w:lang w:val="en-US" w:eastAsia="zh-CN"/>
        </w:rPr>
        <w:t>当事人作为施工单位在广州市番禺区钟村街汉溪村承建汉溪村地块二项目（以下简称该项目）进行施工，目前该项目处于桩基础施工阶段，主要设有非道路移动机械：旋挖机2台、挖掘机2台，施工过程中产生噪声污染物。因噪声超标，广州市生态环境局番禺分局下属第二环保所于2021年7月21日向当事人发出《责令限期整改通知书》（穗番环法改（2021）020010号），责令5天内采取限制生产、停产整改等措施，确保噪声达标排放。但据广东安纳检测技术有限公司于2021年7月28日再次采样检测，2021年7月30日出具的《检测报告》（安纳检字（2021）第072812号）显示，该项目工地北边界外1m处2#昼间噪声值为71（dB(A)），超过《建筑施工场界环境噪声排放标准》（GB/T 12523-2011）昼间标准（70dB（A））。</w:t>
      </w:r>
    </w:p>
    <w:p>
      <w:pPr>
        <w:pStyle w:val="4"/>
        <w:keepNext w:val="0"/>
        <w:keepLines w:val="0"/>
        <w:pageBreakBefore w:val="0"/>
        <w:widowControl w:val="0"/>
        <w:tabs>
          <w:tab w:val="left" w:pos="8080"/>
          <w:tab w:val="left" w:pos="8222"/>
        </w:tabs>
        <w:kinsoku/>
        <w:overflowPunct/>
        <w:topLinePunct w:val="0"/>
        <w:bidi w:val="0"/>
        <w:adjustRightInd/>
        <w:spacing w:line="480" w:lineRule="exact"/>
        <w:ind w:right="226" w:firstLine="640" w:firstLineChars="200"/>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 xml:space="preserve">以上事实，有现场检查（勘察）笔录、调查询问笔录、现场照片、噪声监测现场记录表、检测报告等证据证实。                                               </w:t>
      </w:r>
    </w:p>
    <w:p>
      <w:pPr>
        <w:pStyle w:val="4"/>
        <w:keepNext w:val="0"/>
        <w:keepLines w:val="0"/>
        <w:pageBreakBefore w:val="0"/>
        <w:widowControl w:val="0"/>
        <w:tabs>
          <w:tab w:val="left" w:pos="8080"/>
          <w:tab w:val="left" w:pos="8222"/>
        </w:tabs>
        <w:kinsoku/>
        <w:overflowPunct/>
        <w:topLinePunct w:val="0"/>
        <w:bidi w:val="0"/>
        <w:adjustRightInd/>
        <w:spacing w:line="480" w:lineRule="exact"/>
        <w:ind w:right="226" w:firstLine="640" w:firstLineChars="200"/>
        <w:jc w:val="both"/>
        <w:textAlignment w:val="auto"/>
        <w:rPr>
          <w:rFonts w:hint="eastAsia" w:ascii="黑体" w:hAnsi="黑体" w:eastAsia="黑体" w:cs="黑体"/>
          <w:b w:val="0"/>
          <w:bCs w:val="0"/>
          <w:sz w:val="32"/>
          <w:szCs w:val="32"/>
          <w:u w:val="none"/>
          <w:lang w:val="en-US"/>
        </w:rPr>
      </w:pPr>
      <w:r>
        <w:rPr>
          <w:rFonts w:hint="eastAsia" w:ascii="黑体" w:hAnsi="黑体" w:eastAsia="黑体" w:cs="黑体"/>
          <w:b w:val="0"/>
          <w:bCs w:val="0"/>
          <w:sz w:val="32"/>
          <w:szCs w:val="32"/>
          <w:u w:val="none"/>
          <w:lang w:val="en-US"/>
        </w:rPr>
        <w:t>二、规范依据、拟处罚告知及处罚内容</w:t>
      </w:r>
    </w:p>
    <w:p>
      <w:pPr>
        <w:pStyle w:val="4"/>
        <w:keepNext w:val="0"/>
        <w:keepLines w:val="0"/>
        <w:pageBreakBefore w:val="0"/>
        <w:widowControl w:val="0"/>
        <w:tabs>
          <w:tab w:val="left" w:pos="7982"/>
        </w:tabs>
        <w:kinsoku/>
        <w:overflowPunct/>
        <w:topLinePunct w:val="0"/>
        <w:bidi w:val="0"/>
        <w:adjustRightInd/>
        <w:spacing w:line="480" w:lineRule="exact"/>
        <w:ind w:right="84" w:firstLine="640" w:firstLineChars="200"/>
        <w:jc w:val="both"/>
        <w:textAlignment w:val="auto"/>
        <w:rPr>
          <w:rFonts w:hint="default" w:ascii="Times New Roman" w:hAnsi="Times New Roman" w:eastAsia="仿宋_GB2312" w:cs="宋体"/>
          <w:sz w:val="32"/>
          <w:szCs w:val="32"/>
          <w:u w:val="none"/>
          <w:lang w:val="en-US" w:eastAsia="zh-CN"/>
        </w:rPr>
      </w:pPr>
      <w:r>
        <w:rPr>
          <w:rFonts w:hint="eastAsia" w:ascii="Times New Roman" w:hAnsi="Times New Roman" w:eastAsia="仿宋_GB2312" w:cs="宋体"/>
          <w:sz w:val="32"/>
          <w:szCs w:val="32"/>
          <w:u w:val="none"/>
          <w:lang w:val="en-US" w:eastAsia="zh-CN"/>
        </w:rPr>
        <w:t>当事人</w:t>
      </w:r>
      <w:r>
        <w:rPr>
          <w:rFonts w:hint="eastAsia" w:ascii="Times New Roman" w:hAnsi="Times New Roman" w:eastAsia="仿宋_GB2312" w:cs="宋体"/>
          <w:sz w:val="32"/>
          <w:szCs w:val="32"/>
          <w:u w:val="none"/>
          <w:lang w:val="en-US"/>
        </w:rPr>
        <w:t>超标排放噪声污染物的行为，违反了《广东省实施&lt;中华人民共和国环境噪声污染防治法&gt;办法》第十七条的有关规定。</w:t>
      </w:r>
      <w:r>
        <w:rPr>
          <w:rFonts w:hint="eastAsia" w:ascii="Times New Roman" w:hAnsi="Times New Roman" w:eastAsia="仿宋_GB2312" w:cs="宋体"/>
          <w:sz w:val="32"/>
          <w:szCs w:val="32"/>
          <w:u w:val="none"/>
          <w:lang w:val="en-US" w:eastAsia="zh-CN"/>
        </w:rPr>
        <w:t>我</w:t>
      </w:r>
      <w:r>
        <w:rPr>
          <w:rFonts w:hint="eastAsia" w:ascii="Times New Roman" w:hAnsi="Times New Roman" w:eastAsia="仿宋_GB2312" w:cs="宋体"/>
          <w:sz w:val="32"/>
          <w:szCs w:val="32"/>
          <w:u w:val="none"/>
          <w:lang w:val="en-US"/>
        </w:rPr>
        <w:t>局于2021年</w:t>
      </w:r>
      <w:r>
        <w:rPr>
          <w:rFonts w:hint="eastAsia" w:ascii="Times New Roman" w:hAnsi="Times New Roman" w:eastAsia="仿宋_GB2312" w:cs="宋体"/>
          <w:sz w:val="32"/>
          <w:szCs w:val="32"/>
          <w:u w:val="none"/>
          <w:lang w:val="en-US" w:eastAsia="zh-CN"/>
        </w:rPr>
        <w:t>9</w:t>
      </w:r>
      <w:r>
        <w:rPr>
          <w:rFonts w:hint="eastAsia" w:ascii="Times New Roman" w:hAnsi="Times New Roman" w:eastAsia="仿宋_GB2312" w:cs="宋体"/>
          <w:sz w:val="32"/>
          <w:szCs w:val="32"/>
          <w:u w:val="none"/>
          <w:lang w:val="en-US"/>
        </w:rPr>
        <w:t>月</w:t>
      </w:r>
      <w:r>
        <w:rPr>
          <w:rFonts w:hint="eastAsia" w:ascii="Times New Roman" w:hAnsi="Times New Roman" w:eastAsia="仿宋_GB2312" w:cs="宋体"/>
          <w:sz w:val="32"/>
          <w:szCs w:val="32"/>
          <w:u w:val="none"/>
          <w:lang w:val="en-US" w:eastAsia="zh-CN"/>
        </w:rPr>
        <w:t>4</w:t>
      </w:r>
      <w:r>
        <w:rPr>
          <w:rFonts w:hint="eastAsia" w:ascii="Times New Roman" w:hAnsi="Times New Roman" w:eastAsia="仿宋_GB2312" w:cs="宋体"/>
          <w:sz w:val="32"/>
          <w:szCs w:val="32"/>
          <w:u w:val="none"/>
          <w:lang w:val="en-US"/>
        </w:rPr>
        <w:t>日向</w:t>
      </w:r>
      <w:r>
        <w:rPr>
          <w:rFonts w:hint="eastAsia" w:ascii="Times New Roman" w:hAnsi="Times New Roman" w:eastAsia="仿宋_GB2312" w:cs="宋体"/>
          <w:sz w:val="32"/>
          <w:szCs w:val="32"/>
          <w:u w:val="none"/>
          <w:lang w:val="en-US" w:eastAsia="zh-CN"/>
        </w:rPr>
        <w:t>当事人</w:t>
      </w:r>
      <w:r>
        <w:rPr>
          <w:rFonts w:hint="eastAsia" w:ascii="Times New Roman" w:hAnsi="Times New Roman" w:eastAsia="仿宋_GB2312" w:cs="宋体"/>
          <w:sz w:val="32"/>
          <w:szCs w:val="32"/>
          <w:u w:val="none"/>
          <w:lang w:val="en-US"/>
        </w:rPr>
        <w:t>送达广州市生态环境局行政处罚</w:t>
      </w:r>
      <w:r>
        <w:rPr>
          <w:rFonts w:hint="eastAsia" w:ascii="Times New Roman" w:hAnsi="Times New Roman" w:eastAsia="仿宋_GB2312" w:cs="宋体"/>
          <w:sz w:val="32"/>
          <w:szCs w:val="32"/>
          <w:u w:val="none"/>
          <w:lang w:val="en-US" w:eastAsia="zh-CN"/>
        </w:rPr>
        <w:t>处罚</w:t>
      </w:r>
      <w:r>
        <w:rPr>
          <w:rFonts w:hint="eastAsia" w:ascii="Times New Roman" w:hAnsi="Times New Roman" w:eastAsia="仿宋_GB2312" w:cs="宋体"/>
          <w:sz w:val="32"/>
          <w:szCs w:val="32"/>
          <w:u w:val="none"/>
          <w:lang w:val="en-US"/>
        </w:rPr>
        <w:t>告知书（穗番环罚</w:t>
      </w:r>
      <w:r>
        <w:rPr>
          <w:rFonts w:hint="eastAsia" w:ascii="Times New Roman" w:hAnsi="Times New Roman" w:eastAsia="仿宋_GB2312" w:cs="宋体"/>
          <w:sz w:val="32"/>
          <w:szCs w:val="32"/>
          <w:u w:val="none"/>
          <w:lang w:val="en-US" w:eastAsia="zh-CN"/>
        </w:rPr>
        <w:t>听</w:t>
      </w:r>
      <w:r>
        <w:rPr>
          <w:rFonts w:hint="eastAsia" w:ascii="Times New Roman" w:hAnsi="Times New Roman" w:eastAsia="仿宋_GB2312" w:cs="宋体"/>
          <w:sz w:val="32"/>
          <w:szCs w:val="32"/>
          <w:u w:val="none"/>
          <w:lang w:val="en-US"/>
        </w:rPr>
        <w:t>告〔2021〕</w:t>
      </w:r>
      <w:r>
        <w:rPr>
          <w:rFonts w:hint="eastAsia" w:ascii="Times New Roman" w:hAnsi="Times New Roman" w:eastAsia="仿宋_GB2312" w:cs="宋体"/>
          <w:sz w:val="32"/>
          <w:szCs w:val="32"/>
          <w:u w:val="none"/>
          <w:lang w:val="en-US" w:eastAsia="zh-CN"/>
        </w:rPr>
        <w:t>189</w:t>
      </w:r>
      <w:r>
        <w:rPr>
          <w:rFonts w:hint="eastAsia" w:ascii="Times New Roman" w:hAnsi="Times New Roman" w:eastAsia="仿宋_GB2312" w:cs="宋体"/>
          <w:sz w:val="32"/>
          <w:szCs w:val="32"/>
          <w:u w:val="none"/>
          <w:lang w:val="en-US"/>
        </w:rPr>
        <w:t xml:space="preserve"> 号），</w:t>
      </w:r>
      <w:r>
        <w:rPr>
          <w:rFonts w:hint="eastAsia" w:ascii="Times New Roman" w:hAnsi="Times New Roman" w:eastAsia="仿宋_GB2312" w:cs="宋体"/>
          <w:sz w:val="32"/>
          <w:szCs w:val="32"/>
          <w:u w:val="none"/>
          <w:lang w:val="en-US" w:eastAsia="zh-CN"/>
        </w:rPr>
        <w:t>当事人</w:t>
      </w:r>
      <w:r>
        <w:rPr>
          <w:rFonts w:hint="eastAsia" w:ascii="Times New Roman" w:hAnsi="Times New Roman" w:eastAsia="仿宋_GB2312" w:cs="宋体"/>
          <w:sz w:val="32"/>
          <w:szCs w:val="32"/>
          <w:u w:val="none"/>
          <w:lang w:val="en-US"/>
        </w:rPr>
        <w:t>逾期没有提出听证申请，</w:t>
      </w:r>
      <w:r>
        <w:rPr>
          <w:rFonts w:hint="eastAsia" w:ascii="Times New Roman" w:hAnsi="Times New Roman" w:eastAsia="仿宋_GB2312" w:cs="宋体"/>
          <w:sz w:val="32"/>
          <w:szCs w:val="32"/>
          <w:u w:val="none"/>
          <w:lang w:val="en-US" w:eastAsia="zh-CN"/>
        </w:rPr>
        <w:t>但提交了申辩材料</w:t>
      </w:r>
      <w:r>
        <w:rPr>
          <w:rFonts w:hint="eastAsia" w:ascii="Times New Roman" w:hAnsi="Times New Roman" w:eastAsia="仿宋_GB2312" w:cs="宋体"/>
          <w:sz w:val="32"/>
          <w:szCs w:val="32"/>
          <w:u w:val="none"/>
          <w:lang w:val="en-US"/>
        </w:rPr>
        <w:t>。</w:t>
      </w:r>
      <w:r>
        <w:rPr>
          <w:rFonts w:hint="eastAsia" w:ascii="Times New Roman" w:hAnsi="Times New Roman" w:eastAsia="仿宋_GB2312" w:cs="宋体"/>
          <w:sz w:val="32"/>
          <w:szCs w:val="32"/>
          <w:u w:val="none"/>
          <w:lang w:val="en-US" w:eastAsia="zh-CN"/>
        </w:rPr>
        <w:t>经研究，你单位噪声超标排放的违法事实清楚。</w:t>
      </w:r>
    </w:p>
    <w:p>
      <w:pPr>
        <w:pStyle w:val="4"/>
        <w:keepNext w:val="0"/>
        <w:keepLines w:val="0"/>
        <w:pageBreakBefore w:val="0"/>
        <w:widowControl w:val="0"/>
        <w:tabs>
          <w:tab w:val="left" w:pos="7982"/>
        </w:tabs>
        <w:kinsoku/>
        <w:overflowPunct/>
        <w:topLinePunct w:val="0"/>
        <w:bidi w:val="0"/>
        <w:adjustRightInd/>
        <w:spacing w:line="480" w:lineRule="exact"/>
        <w:ind w:right="226" w:firstLine="640" w:firstLineChars="200"/>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根据《广东省实施&lt;中华人民共和国环境噪声污染防治法&gt;办法》第三十一条第（八）项，我局现对当事人作出如下行政处罚：</w:t>
      </w:r>
    </w:p>
    <w:p>
      <w:pPr>
        <w:pStyle w:val="4"/>
        <w:keepNext w:val="0"/>
        <w:keepLines w:val="0"/>
        <w:pageBreakBefore w:val="0"/>
        <w:widowControl w:val="0"/>
        <w:tabs>
          <w:tab w:val="left" w:pos="7982"/>
        </w:tabs>
        <w:kinsoku/>
        <w:overflowPunct/>
        <w:topLinePunct w:val="0"/>
        <w:bidi w:val="0"/>
        <w:adjustRightInd/>
        <w:spacing w:line="480" w:lineRule="exact"/>
        <w:ind w:right="226" w:firstLine="640" w:firstLineChars="200"/>
        <w:jc w:val="both"/>
        <w:textAlignment w:val="auto"/>
        <w:rPr>
          <w:rFonts w:hint="eastAsia" w:ascii="Times New Roman" w:hAnsi="Times New Roman" w:eastAsia="仿宋_GB2312" w:cs="宋体"/>
          <w:sz w:val="32"/>
          <w:szCs w:val="32"/>
          <w:u w:val="none"/>
          <w:lang w:val="en-US" w:eastAsia="zh-CN"/>
        </w:rPr>
      </w:pPr>
      <w:r>
        <w:rPr>
          <w:rFonts w:hint="eastAsia" w:ascii="Times New Roman" w:hAnsi="Times New Roman" w:eastAsia="仿宋_GB2312" w:cs="宋体"/>
          <w:sz w:val="32"/>
          <w:szCs w:val="32"/>
          <w:u w:val="none"/>
          <w:lang w:val="en-US" w:eastAsia="zh-CN"/>
        </w:rPr>
        <w:t>限制当事人该项目施工过程中产生噪声部分设备的使用：其中50%产生噪声的设备2个月内不得使用，并确保噪声达标排放。</w:t>
      </w:r>
    </w:p>
    <w:p>
      <w:pPr>
        <w:pStyle w:val="4"/>
        <w:keepNext w:val="0"/>
        <w:keepLines w:val="0"/>
        <w:pageBreakBefore w:val="0"/>
        <w:widowControl w:val="0"/>
        <w:tabs>
          <w:tab w:val="left" w:pos="7382"/>
          <w:tab w:val="left" w:pos="7982"/>
        </w:tabs>
        <w:kinsoku/>
        <w:overflowPunct/>
        <w:topLinePunct w:val="0"/>
        <w:bidi w:val="0"/>
        <w:adjustRightInd/>
        <w:spacing w:line="480" w:lineRule="exact"/>
        <w:ind w:right="962" w:firstLine="627" w:firstLineChars="196"/>
        <w:jc w:val="both"/>
        <w:textAlignment w:val="auto"/>
        <w:rPr>
          <w:rFonts w:hint="eastAsia" w:ascii="黑体" w:hAnsi="黑体" w:eastAsia="黑体" w:cs="黑体"/>
          <w:b w:val="0"/>
          <w:bCs w:val="0"/>
          <w:sz w:val="32"/>
          <w:szCs w:val="32"/>
          <w:u w:val="none"/>
          <w:lang w:val="en-US"/>
        </w:rPr>
      </w:pPr>
      <w:r>
        <w:rPr>
          <w:rFonts w:hint="eastAsia" w:ascii="黑体" w:hAnsi="黑体" w:eastAsia="黑体" w:cs="黑体"/>
          <w:b w:val="0"/>
          <w:bCs w:val="0"/>
          <w:sz w:val="32"/>
          <w:szCs w:val="32"/>
          <w:u w:val="none"/>
          <w:lang w:val="en-US"/>
        </w:rPr>
        <w:t>三、处罚内容的履行要求和当事人的救济权利</w:t>
      </w: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宋体"/>
          <w:sz w:val="32"/>
          <w:szCs w:val="32"/>
        </w:rPr>
      </w:pPr>
      <w:r>
        <w:rPr>
          <w:rFonts w:hint="eastAsia" w:ascii="Times New Roman" w:hAnsi="Times New Roman" w:eastAsia="仿宋_GB2312" w:cs="宋体"/>
          <w:sz w:val="32"/>
          <w:szCs w:val="32"/>
        </w:rPr>
        <w:t>如不服上述行政处罚决定，可在收到文书之日起60日内向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当事人向广州市人民政府提出行政复议申请。申请行政复议或提起行政诉讼的，不停止本决定的执行。</w:t>
      </w:r>
    </w:p>
    <w:p>
      <w:pPr>
        <w:pStyle w:val="10"/>
        <w:rPr>
          <w:rFonts w:ascii="Times New Roman" w:hAnsi="Times New Roman" w:eastAsia="仿宋_GB2312" w:cs="Times New Roman"/>
          <w:sz w:val="32"/>
        </w:rPr>
      </w:pPr>
    </w:p>
    <w:p>
      <w:pPr>
        <w:pStyle w:val="10"/>
        <w:rPr>
          <w:rFonts w:ascii="Times New Roman" w:hAnsi="Times New Roman" w:eastAsia="仿宋_GB2312" w:cs="Times New Roman"/>
          <w:sz w:val="32"/>
        </w:rPr>
      </w:pPr>
    </w:p>
    <w:p>
      <w:pPr>
        <w:pStyle w:val="10"/>
        <w:ind w:firstLine="4160" w:firstLineChars="1300"/>
        <w:jc w:val="right"/>
        <w:rPr>
          <w:rFonts w:ascii="Times New Roman" w:hAnsi="Times New Roman" w:eastAsia="仿宋_GB2312" w:cs="Times New Roman"/>
          <w:sz w:val="32"/>
        </w:rPr>
      </w:pPr>
      <w:r>
        <w:rPr>
          <w:rFonts w:hint="eastAsia" w:ascii="Times New Roman" w:hAnsi="Times New Roman" w:eastAsia="仿宋_GB2312" w:cs="Times New Roman"/>
          <w:sz w:val="32"/>
        </w:rPr>
        <w:t>广州市生态环境局</w:t>
      </w:r>
    </w:p>
    <w:p>
      <w:pPr>
        <w:autoSpaceDE/>
        <w:autoSpaceDN/>
        <w:ind w:firstLine="1270" w:firstLineChars="397"/>
        <w:jc w:val="center"/>
        <w:rPr>
          <w:rFonts w:hint="eastAsia" w:ascii="仿宋_GB2312" w:hAnsi="Times New Roman" w:eastAsia="仿宋_GB2312" w:cs="Times New Roman"/>
          <w:kern w:val="2"/>
          <w:sz w:val="28"/>
          <w:szCs w:val="28"/>
          <w:lang w:val="en-US"/>
        </w:rPr>
      </w:pPr>
      <w:r>
        <w:rPr>
          <w:rFonts w:hint="eastAsia" w:ascii="Times New Roman" w:hAnsi="Times New Roman" w:eastAsia="仿宋_GB2312" w:cs="Times New Roman"/>
          <w:kern w:val="2"/>
          <w:sz w:val="32"/>
          <w:szCs w:val="24"/>
          <w:lang w:val="en-US"/>
        </w:rPr>
        <w:t xml:space="preserve">                          </w:t>
      </w:r>
      <w:r>
        <w:rPr>
          <w:rFonts w:hint="eastAsia" w:ascii="Times New Roman" w:hAnsi="Times New Roman" w:eastAsia="仿宋_GB2312" w:cs="Times New Roman"/>
          <w:kern w:val="2"/>
          <w:sz w:val="32"/>
          <w:szCs w:val="24"/>
          <w:lang w:val="en-US" w:eastAsia="zh-CN"/>
        </w:rPr>
        <w:t xml:space="preserve">     </w:t>
      </w:r>
      <w:bookmarkStart w:id="0" w:name="DATE"/>
      <w:r>
        <w:rPr>
          <w:rFonts w:hint="eastAsia" w:ascii="Times New Roman" w:hAnsi="Times New Roman" w:eastAsia="仿宋_GB2312" w:cs="Times New Roman"/>
          <w:kern w:val="2"/>
          <w:sz w:val="32"/>
          <w:szCs w:val="24"/>
          <w:lang w:val="en-US" w:eastAsia="zh-CN"/>
        </w:rPr>
        <w:t>2021年10月20</w:t>
      </w:r>
      <w:bookmarkStart w:id="1" w:name="_GoBack"/>
      <w:bookmarkEnd w:id="1"/>
      <w:r>
        <w:rPr>
          <w:rFonts w:hint="eastAsia" w:ascii="Times New Roman" w:hAnsi="Times New Roman" w:eastAsia="仿宋_GB2312" w:cs="Times New Roman"/>
          <w:kern w:val="2"/>
          <w:sz w:val="32"/>
          <w:szCs w:val="24"/>
          <w:lang w:val="en-US" w:eastAsia="zh-CN"/>
        </w:rPr>
        <w:t>日</w:t>
      </w:r>
      <w:bookmarkEnd w:id="0"/>
    </w:p>
    <w:p>
      <w:pPr>
        <w:keepNext w:val="0"/>
        <w:keepLines w:val="0"/>
        <w:pageBreakBefore w:val="0"/>
        <w:widowControl w:val="0"/>
        <w:kinsoku/>
        <w:overflowPunct/>
        <w:topLinePunct w:val="0"/>
        <w:bidi w:val="0"/>
        <w:adjustRightInd/>
        <w:spacing w:line="480" w:lineRule="exact"/>
        <w:textAlignment w:val="auto"/>
        <w:rPr>
          <w:rFonts w:ascii="Times New Roman" w:hAnsi="Times New Roman" w:eastAsia="仿宋_GB2312"/>
          <w:sz w:val="40"/>
          <w:szCs w:val="28"/>
          <w:u w:val="none"/>
        </w:rPr>
      </w:pPr>
    </w:p>
    <w:sectPr>
      <w:pgSz w:w="11906" w:h="16838"/>
      <w:pgMar w:top="1587" w:right="1474" w:bottom="113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
    <w:altName w:val="宋体"/>
    <w:panose1 w:val="00000000000000000000"/>
    <w:charset w:val="00"/>
    <w:family w:val="auto"/>
    <w:pitch w:val="default"/>
    <w:sig w:usb0="00000000" w:usb1="00000000" w:usb2="00000000"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091C4E"/>
    <w:rsid w:val="115765A5"/>
    <w:rsid w:val="213F2D5E"/>
    <w:rsid w:val="497C41B4"/>
    <w:rsid w:val="4A521562"/>
    <w:rsid w:val="4B091C4E"/>
    <w:rsid w:val="511B182A"/>
    <w:rsid w:val="61FC0DC4"/>
    <w:rsid w:val="718B25C6"/>
    <w:rsid w:val="73F10B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ar-SA"/>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2">
    <w:name w:val="Normal Indent1"/>
    <w:basedOn w:val="3"/>
    <w:qFormat/>
    <w:uiPriority w:val="0"/>
    <w:pPr>
      <w:ind w:firstLine="420" w:firstLineChars="200"/>
    </w:pPr>
    <w:rPr>
      <w:rFonts w:ascii="Times New Roman" w:hAnsi="Times New Roman" w:eastAsia="宋体" w:cs="Times New Roman"/>
    </w:rPr>
  </w:style>
  <w:style w:type="paragraph" w:customStyle="1" w:styleId="3">
    <w:name w:val="正文 New New New New New New New New New New New New"/>
    <w:next w:val="2"/>
    <w:qFormat/>
    <w:uiPriority w:val="0"/>
    <w:pPr>
      <w:widowControl w:val="0"/>
      <w:jc w:val="both"/>
    </w:pPr>
    <w:rPr>
      <w:rFonts w:ascii="Calibri" w:hAnsi="Calibri" w:cs="Calibri" w:eastAsiaTheme="minorEastAsia"/>
      <w:kern w:val="2"/>
      <w:sz w:val="32"/>
      <w:szCs w:val="21"/>
      <w:lang w:val="en-US" w:eastAsia="zh-CN" w:bidi="ar-SA"/>
    </w:rPr>
  </w:style>
  <w:style w:type="paragraph" w:styleId="4">
    <w:name w:val="Body Text"/>
    <w:basedOn w:val="1"/>
    <w:qFormat/>
    <w:uiPriority w:val="0"/>
    <w:rPr>
      <w:sz w:val="30"/>
      <w:szCs w:val="30"/>
    </w:rPr>
  </w:style>
  <w:style w:type="paragraph" w:styleId="5">
    <w:name w:val="footer"/>
    <w:qFormat/>
    <w:uiPriority w:val="0"/>
    <w:pPr>
      <w:widowControl w:val="0"/>
      <w:tabs>
        <w:tab w:val="center" w:pos="4153"/>
        <w:tab w:val="right" w:pos="8306"/>
      </w:tabs>
      <w:snapToGrid w:val="0"/>
      <w:jc w:val="left"/>
    </w:pPr>
    <w:rPr>
      <w:rFonts w:ascii="Times New Roman" w:hAnsi="Times New Roman" w:eastAsia="仿宋_GB2312" w:cs="Times New Roman"/>
      <w:kern w:val="2"/>
      <w:sz w:val="18"/>
      <w:szCs w:val="18"/>
      <w:lang w:val="en-US" w:eastAsia="zh-CN" w:bidi="ar-SA"/>
    </w:rPr>
  </w:style>
  <w:style w:type="character" w:styleId="8">
    <w:name w:val="page number"/>
    <w:qFormat/>
    <w:uiPriority w:val="0"/>
  </w:style>
  <w:style w:type="paragraph" w:customStyle="1" w:styleId="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区环保局</Company>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2021-09-29T07:14:00Z</dcterms:created>
  <dc:creator>cch</dc:creator>
  <cp:lastModifiedBy>未定义</cp:lastModifiedBy>
  <cp:lastPrinted>2021-09-29T09:50:00Z</cp:lastPrinted>
  <dcterms:modified xsi:type="dcterms:W3CDTF">2021-10-20T06:09:24Z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