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eastAsia="仿宋_GB2312"/>
          <w:sz w:val="32"/>
          <w:szCs w:val="32"/>
        </w:rPr>
      </w:pPr>
      <w:r>
        <w:rPr>
          <w:rFonts w:hint="eastAsia" w:eastAsia="仿宋_GB2312"/>
          <w:sz w:val="32"/>
          <w:szCs w:val="32"/>
        </w:rPr>
        <w:t>我区将于202</w:t>
      </w:r>
      <w:r>
        <w:rPr>
          <w:rFonts w:hint="eastAsia" w:eastAsia="仿宋_GB2312"/>
          <w:sz w:val="32"/>
          <w:szCs w:val="32"/>
          <w:lang w:val="en-US" w:eastAsia="zh-CN"/>
        </w:rPr>
        <w:t>2</w:t>
      </w:r>
      <w:r>
        <w:rPr>
          <w:rFonts w:hint="eastAsia" w:eastAsia="仿宋_GB2312"/>
          <w:sz w:val="32"/>
          <w:szCs w:val="32"/>
        </w:rPr>
        <w:t>年</w:t>
      </w:r>
      <w:r>
        <w:rPr>
          <w:rFonts w:hint="eastAsia" w:eastAsia="仿宋_GB2312"/>
          <w:sz w:val="32"/>
          <w:szCs w:val="32"/>
          <w:lang w:val="en-US" w:eastAsia="zh-CN"/>
        </w:rPr>
        <w:t>1</w:t>
      </w:r>
      <w:r>
        <w:rPr>
          <w:rFonts w:hint="eastAsia" w:eastAsia="仿宋_GB2312"/>
          <w:sz w:val="32"/>
          <w:szCs w:val="32"/>
        </w:rPr>
        <w:t>月</w:t>
      </w:r>
      <w:r>
        <w:rPr>
          <w:rFonts w:hint="eastAsia" w:eastAsia="仿宋_GB2312"/>
          <w:sz w:val="32"/>
          <w:szCs w:val="32"/>
          <w:lang w:val="en-US" w:eastAsia="zh-CN"/>
        </w:rPr>
        <w:t>10</w:t>
      </w:r>
      <w:r>
        <w:rPr>
          <w:rFonts w:hint="eastAsia" w:eastAsia="仿宋_GB2312"/>
          <w:sz w:val="32"/>
          <w:szCs w:val="32"/>
        </w:rPr>
        <w:t>日</w:t>
      </w:r>
      <w:r>
        <w:rPr>
          <w:rFonts w:eastAsia="仿宋_GB2312"/>
          <w:sz w:val="32"/>
          <w:szCs w:val="32"/>
        </w:rPr>
        <w:t>推出</w:t>
      </w:r>
      <w:r>
        <w:rPr>
          <w:rFonts w:hint="eastAsia" w:eastAsia="仿宋_GB2312"/>
          <w:color w:val="000000"/>
          <w:sz w:val="32"/>
          <w:szCs w:val="32"/>
        </w:rPr>
        <w:t>110套</w:t>
      </w:r>
      <w:r>
        <w:rPr>
          <w:rFonts w:eastAsia="仿宋_GB2312"/>
          <w:sz w:val="32"/>
          <w:szCs w:val="32"/>
        </w:rPr>
        <w:t>公共租赁住房</w:t>
      </w:r>
      <w:r>
        <w:rPr>
          <w:rFonts w:hint="eastAsia" w:eastAsia="仿宋_GB2312"/>
          <w:sz w:val="32"/>
          <w:szCs w:val="32"/>
        </w:rPr>
        <w:t>面向我区在册公租房轮候对象进行分配，保障对象需于</w:t>
      </w:r>
      <w:r>
        <w:rPr>
          <w:rFonts w:hint="eastAsia" w:eastAsia="仿宋_GB2312"/>
          <w:sz w:val="32"/>
        </w:rPr>
        <w:t>202</w:t>
      </w:r>
      <w:r>
        <w:rPr>
          <w:rFonts w:hint="eastAsia" w:eastAsia="仿宋_GB2312"/>
          <w:sz w:val="32"/>
          <w:lang w:val="en-US" w:eastAsia="zh-CN"/>
        </w:rPr>
        <w:t>2</w:t>
      </w:r>
      <w:r>
        <w:rPr>
          <w:rFonts w:eastAsia="仿宋_GB2312"/>
          <w:sz w:val="32"/>
        </w:rPr>
        <w:t>年</w:t>
      </w:r>
      <w:r>
        <w:rPr>
          <w:rFonts w:hint="eastAsia" w:eastAsia="仿宋_GB2312"/>
          <w:sz w:val="32"/>
        </w:rPr>
        <w:t>1月1日</w:t>
      </w:r>
      <w:r>
        <w:rPr>
          <w:rFonts w:eastAsia="仿宋_GB2312"/>
          <w:sz w:val="32"/>
        </w:rPr>
        <w:t>前取得公共租赁住房有效轮候号</w:t>
      </w:r>
      <w:r>
        <w:rPr>
          <w:rFonts w:eastAsia="仿宋_GB2312"/>
          <w:sz w:val="32"/>
          <w:szCs w:val="32"/>
        </w:rPr>
        <w:t>，</w:t>
      </w:r>
      <w:r>
        <w:rPr>
          <w:rFonts w:hint="eastAsia" w:eastAsia="仿宋_GB2312"/>
          <w:sz w:val="32"/>
          <w:szCs w:val="32"/>
        </w:rPr>
        <w:t>房源</w:t>
      </w:r>
      <w:r>
        <w:rPr>
          <w:rFonts w:eastAsia="仿宋_GB2312"/>
          <w:sz w:val="32"/>
          <w:szCs w:val="32"/>
        </w:rPr>
        <w:t>详见</w:t>
      </w:r>
      <w:r>
        <w:rPr>
          <w:rFonts w:hint="eastAsia" w:eastAsia="仿宋_GB2312"/>
          <w:sz w:val="32"/>
          <w:szCs w:val="32"/>
        </w:rPr>
        <w:t>文末房源情况表</w:t>
      </w:r>
      <w:r>
        <w:rPr>
          <w:rFonts w:eastAsia="仿宋_GB2312"/>
          <w:sz w:val="32"/>
          <w:szCs w:val="32"/>
        </w:rPr>
        <w:t>。</w:t>
      </w:r>
    </w:p>
    <w:p>
      <w:pPr>
        <w:ind w:firstLine="640" w:firstLineChars="200"/>
        <w:rPr>
          <w:rFonts w:eastAsia="仿宋_GB2312"/>
          <w:sz w:val="32"/>
          <w:szCs w:val="32"/>
        </w:rPr>
      </w:pPr>
      <w:r>
        <w:rPr>
          <w:rFonts w:hint="eastAsia" w:eastAsia="仿宋_GB2312"/>
          <w:sz w:val="32"/>
          <w:szCs w:val="32"/>
        </w:rPr>
        <w:t>本次分配的房源中，</w:t>
      </w:r>
      <w:r>
        <w:rPr>
          <w:rFonts w:hint="eastAsia" w:eastAsia="仿宋_GB2312"/>
          <w:b/>
          <w:sz w:val="32"/>
          <w:szCs w:val="32"/>
        </w:rPr>
        <w:t>碧臻花园公租房项目位于大石街富石路317号，距离地铁3号线大石地铁站约1.5公里，步行需约25分钟（位置图见下图）</w:t>
      </w:r>
      <w:r>
        <w:rPr>
          <w:rFonts w:hint="eastAsia" w:eastAsia="仿宋_GB2312"/>
          <w:sz w:val="32"/>
          <w:szCs w:val="32"/>
        </w:rPr>
        <w:t>。从市桥地铁站出发，到该小区约需35分钟，交通便利。该项目有公共租赁住房共93套，其中一房户型88套</w:t>
      </w:r>
      <w:r>
        <w:rPr>
          <w:rFonts w:hint="eastAsia" w:ascii="仿宋_GB2312" w:eastAsia="仿宋_GB2312"/>
          <w:sz w:val="32"/>
          <w:szCs w:val="32"/>
        </w:rPr>
        <w:t>（每套约39</w:t>
      </w:r>
      <w:r>
        <w:rPr>
          <w:rFonts w:ascii="微软雅黑" w:hAnsi="微软雅黑" w:eastAsia="微软雅黑"/>
          <w:sz w:val="32"/>
          <w:szCs w:val="32"/>
        </w:rPr>
        <w:t>~</w:t>
      </w:r>
      <w:r>
        <w:rPr>
          <w:rFonts w:hint="eastAsia" w:ascii="仿宋_GB2312" w:eastAsia="仿宋_GB2312"/>
          <w:sz w:val="32"/>
          <w:szCs w:val="32"/>
        </w:rPr>
        <w:t>44</w:t>
      </w:r>
      <w:r>
        <w:rPr>
          <w:rFonts w:hint="eastAsia" w:ascii="宋体" w:hAnsi="宋体" w:cs="宋体"/>
          <w:sz w:val="32"/>
          <w:szCs w:val="32"/>
        </w:rPr>
        <w:t>㎡</w:t>
      </w:r>
      <w:r>
        <w:rPr>
          <w:rFonts w:hint="eastAsia" w:ascii="仿宋_GB2312" w:eastAsia="仿宋_GB2312"/>
          <w:sz w:val="32"/>
          <w:szCs w:val="32"/>
        </w:rPr>
        <w:t>）</w:t>
      </w:r>
      <w:r>
        <w:rPr>
          <w:rFonts w:hint="eastAsia" w:eastAsia="仿宋_GB2312"/>
          <w:sz w:val="32"/>
          <w:szCs w:val="32"/>
        </w:rPr>
        <w:t>，一房一厅5套</w:t>
      </w:r>
      <w:r>
        <w:rPr>
          <w:rFonts w:hint="eastAsia" w:ascii="仿宋_GB2312" w:eastAsia="仿宋_GB2312"/>
          <w:sz w:val="32"/>
          <w:szCs w:val="32"/>
        </w:rPr>
        <w:t>（每套约55</w:t>
      </w:r>
      <w:r>
        <w:rPr>
          <w:rFonts w:hint="eastAsia" w:ascii="宋体" w:hAnsi="宋体" w:cs="宋体"/>
          <w:sz w:val="32"/>
          <w:szCs w:val="32"/>
        </w:rPr>
        <w:t>㎡</w:t>
      </w:r>
      <w:r>
        <w:rPr>
          <w:rFonts w:hint="eastAsia" w:ascii="仿宋_GB2312" w:eastAsia="仿宋_GB2312"/>
          <w:sz w:val="32"/>
          <w:szCs w:val="32"/>
        </w:rPr>
        <w:t>）。一房户型为开放式厨房，不能使用燃气。</w:t>
      </w:r>
      <w:r>
        <w:rPr>
          <w:rFonts w:hint="eastAsia" w:eastAsia="仿宋_GB2312"/>
          <w:sz w:val="32"/>
          <w:szCs w:val="32"/>
        </w:rPr>
        <w:t>。</w:t>
      </w:r>
    </w:p>
    <w:p>
      <w:pPr>
        <w:rPr>
          <w:rFonts w:eastAsia="仿宋_GB2312"/>
          <w:sz w:val="32"/>
          <w:szCs w:val="32"/>
        </w:rPr>
      </w:pPr>
      <w:r>
        <w:rPr>
          <w:rFonts w:hint="eastAsia" w:eastAsia="仿宋_GB2312"/>
          <w:sz w:val="32"/>
          <w:szCs w:val="32"/>
        </w:rPr>
        <w:drawing>
          <wp:inline distT="0" distB="0" distL="0" distR="0">
            <wp:extent cx="5262880" cy="3094355"/>
            <wp:effectExtent l="0" t="0" r="13970" b="10795"/>
            <wp:docPr id="2" name="图片 2" descr="F:\出文\公租房分配\2021年分配\房型介绍\附件1：碧臻花园步行路线图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出文\公租房分配\2021年分配\房型介绍\附件1：碧臻花园步行路线图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62880" cy="3094355"/>
                    </a:xfrm>
                    <a:prstGeom prst="rect">
                      <a:avLst/>
                    </a:prstGeom>
                    <a:noFill/>
                    <a:ln>
                      <a:noFill/>
                    </a:ln>
                  </pic:spPr>
                </pic:pic>
              </a:graphicData>
            </a:graphic>
          </wp:inline>
        </w:drawing>
      </w:r>
    </w:p>
    <w:p>
      <w:pPr>
        <w:ind w:firstLine="640" w:firstLineChars="200"/>
        <w:rPr>
          <w:rFonts w:eastAsia="仿宋_GB2312"/>
          <w:sz w:val="32"/>
          <w:szCs w:val="32"/>
        </w:rPr>
      </w:pPr>
      <w:r>
        <w:rPr>
          <w:rFonts w:hint="eastAsia" w:eastAsia="仿宋_GB2312"/>
          <w:sz w:val="32"/>
          <w:szCs w:val="32"/>
        </w:rPr>
        <w:t>本次分配采用家庭人口与户型对应原则，具体为：</w:t>
      </w:r>
    </w:p>
    <w:p>
      <w:pPr>
        <w:ind w:firstLine="630"/>
        <w:jc w:val="left"/>
        <w:rPr>
          <w:rFonts w:hint="eastAsia" w:ascii="仿宋_GB2312" w:hAnsi="宋体" w:eastAsia="仿宋_GB2312"/>
          <w:sz w:val="32"/>
          <w:szCs w:val="32"/>
        </w:rPr>
      </w:pPr>
      <w:r>
        <w:rPr>
          <w:rFonts w:hint="eastAsia" w:ascii="仿宋_GB2312" w:hAnsi="宋体" w:eastAsia="仿宋_GB2312"/>
          <w:b/>
          <w:sz w:val="32"/>
          <w:szCs w:val="32"/>
        </w:rPr>
        <w:t>三房一厅户型</w:t>
      </w:r>
      <w:r>
        <w:rPr>
          <w:rFonts w:hint="eastAsia" w:ascii="仿宋_GB2312" w:hAnsi="宋体" w:eastAsia="仿宋_GB2312"/>
          <w:sz w:val="32"/>
          <w:szCs w:val="32"/>
        </w:rPr>
        <w:t>面向4人及以上家庭分配；</w:t>
      </w:r>
      <w:r>
        <w:rPr>
          <w:rFonts w:hint="eastAsia" w:ascii="仿宋_GB2312" w:hAnsi="宋体" w:eastAsia="仿宋_GB2312"/>
          <w:b/>
          <w:sz w:val="32"/>
          <w:szCs w:val="32"/>
        </w:rPr>
        <w:t>两房一厅户型</w:t>
      </w:r>
      <w:r>
        <w:rPr>
          <w:rFonts w:hint="eastAsia" w:ascii="仿宋_GB2312" w:hAnsi="宋体" w:eastAsia="仿宋_GB2312"/>
          <w:sz w:val="32"/>
          <w:szCs w:val="32"/>
        </w:rPr>
        <w:t>面向4人及以上家庭、3人户和2人户中父女或母子结构的家庭分配；</w:t>
      </w:r>
      <w:r>
        <w:rPr>
          <w:rFonts w:hint="eastAsia" w:ascii="仿宋_GB2312" w:hAnsi="宋体" w:eastAsia="仿宋_GB2312"/>
          <w:b/>
          <w:sz w:val="32"/>
          <w:szCs w:val="32"/>
        </w:rPr>
        <w:t>一房一厅户型</w:t>
      </w:r>
      <w:r>
        <w:rPr>
          <w:rFonts w:hint="eastAsia" w:ascii="仿宋_GB2312" w:hAnsi="宋体" w:eastAsia="仿宋_GB2312"/>
          <w:sz w:val="32"/>
          <w:szCs w:val="32"/>
        </w:rPr>
        <w:t>面向其他2人户家庭分配；</w:t>
      </w:r>
      <w:r>
        <w:rPr>
          <w:rFonts w:hint="eastAsia" w:ascii="仿宋_GB2312" w:hAnsi="宋体" w:eastAsia="仿宋_GB2312"/>
          <w:b/>
          <w:sz w:val="32"/>
          <w:szCs w:val="32"/>
        </w:rPr>
        <w:t>一房户型</w:t>
      </w:r>
      <w:r>
        <w:rPr>
          <w:rFonts w:hint="eastAsia" w:ascii="仿宋_GB2312" w:hAnsi="宋体" w:eastAsia="仿宋_GB2312"/>
          <w:sz w:val="32"/>
          <w:szCs w:val="32"/>
        </w:rPr>
        <w:t>面向其他2人户和1人户家庭分配。</w:t>
      </w:r>
    </w:p>
    <w:p>
      <w:pPr>
        <w:ind w:firstLine="630"/>
        <w:jc w:val="left"/>
        <w:rPr>
          <w:rFonts w:ascii="仿宋_GB2312" w:eastAsia="仿宋_GB2312"/>
          <w:sz w:val="32"/>
          <w:szCs w:val="32"/>
        </w:rPr>
      </w:pPr>
      <w:r>
        <w:rPr>
          <w:rFonts w:hint="eastAsia" w:ascii="仿宋_GB2312" w:hAnsi="宋体" w:eastAsia="仿宋_GB2312"/>
          <w:sz w:val="32"/>
          <w:szCs w:val="32"/>
        </w:rPr>
        <w:t>三房一厅户型在满足4人及以上家庭的需求后，剩余的向3人户家庭分配。两房一厅户型在满足4人及以上家庭、3人户家庭和2人户中父女或母子结构的家庭需求后有剩余的向其他2人户家庭配租。</w:t>
      </w:r>
    </w:p>
    <w:p>
      <w:pPr>
        <w:pStyle w:val="8"/>
        <w:shd w:val="clear" w:color="auto" w:fill="FFFFFF"/>
        <w:spacing w:before="0" w:beforeAutospacing="0" w:after="0" w:afterAutospacing="0"/>
        <w:ind w:firstLine="643" w:firstLineChars="200"/>
        <w:jc w:val="both"/>
        <w:rPr>
          <w:rFonts w:ascii="Times New Roman" w:hAnsi="Times New Roman" w:eastAsia="仿宋_GB2312"/>
          <w:b/>
          <w:color w:val="000000"/>
          <w:sz w:val="32"/>
          <w:szCs w:val="32"/>
        </w:rPr>
      </w:pPr>
      <w:r>
        <w:rPr>
          <w:rFonts w:hint="eastAsia" w:ascii="Times New Roman" w:hAnsi="Times New Roman" w:eastAsia="仿宋_GB2312"/>
          <w:b/>
          <w:color w:val="000000"/>
          <w:sz w:val="32"/>
          <w:szCs w:val="32"/>
        </w:rPr>
        <w:t>房源开放</w:t>
      </w:r>
    </w:p>
    <w:p>
      <w:pPr>
        <w:ind w:firstLine="630" w:firstLineChars="196"/>
        <w:jc w:val="left"/>
        <w:rPr>
          <w:rFonts w:ascii="仿宋_GB2312" w:hAnsi="宋体" w:eastAsia="仿宋_GB2312"/>
          <w:sz w:val="32"/>
          <w:szCs w:val="32"/>
        </w:rPr>
      </w:pPr>
      <w:r>
        <w:rPr>
          <w:rFonts w:hint="eastAsia" w:ascii="仿宋_GB2312" w:hAnsi="宋体" w:eastAsia="仿宋_GB2312" w:cs="Times New Roman"/>
          <w:b/>
          <w:bCs w:val="0"/>
          <w:kern w:val="2"/>
          <w:sz w:val="32"/>
          <w:szCs w:val="32"/>
          <w:lang w:val="en-US" w:eastAsia="zh-CN" w:bidi="ar"/>
        </w:rPr>
        <w:t>大石街碧臻花园公租房项目</w:t>
      </w:r>
      <w:r>
        <w:rPr>
          <w:rFonts w:hint="eastAsia" w:ascii="仿宋_GB2312" w:hAnsi="宋体" w:eastAsia="仿宋_GB2312" w:cs="Times New Roman"/>
          <w:kern w:val="2"/>
          <w:sz w:val="32"/>
          <w:szCs w:val="32"/>
          <w:lang w:val="en-US" w:eastAsia="zh-CN" w:bidi="ar"/>
        </w:rPr>
        <w:t>开放时间为1月15日下午2:30—17:30，申请对象需提前至少一天致电区住房保障办（电话84633374）预约，并于约定时间到达碧臻花园小区正门集合。区住房保障办工作人员将于</w:t>
      </w:r>
      <w:r>
        <w:rPr>
          <w:rFonts w:hint="eastAsia" w:ascii="仿宋_GB2312" w:hAnsi="宋体" w:eastAsia="仿宋_GB2312" w:cs="Times New Roman"/>
          <w:b/>
          <w:bCs/>
          <w:kern w:val="2"/>
          <w:sz w:val="32"/>
          <w:szCs w:val="32"/>
          <w:lang w:val="en-US" w:eastAsia="zh-CN" w:bidi="ar"/>
        </w:rPr>
        <w:t>2:30起每半小时从小区正门分批带进保障房里参观。</w:t>
      </w:r>
      <w:bookmarkStart w:id="0" w:name="_GoBack"/>
      <w:bookmarkEnd w:id="0"/>
    </w:p>
    <w:p>
      <w:pPr>
        <w:pStyle w:val="8"/>
        <w:shd w:val="clear" w:color="auto" w:fill="FFFFFF"/>
        <w:spacing w:before="0" w:beforeAutospacing="0" w:after="0" w:afterAutospacing="0"/>
        <w:ind w:left="160" w:leftChars="76" w:firstLine="640" w:firstLineChars="200"/>
        <w:jc w:val="both"/>
        <w:rPr>
          <w:rFonts w:ascii="Times New Roman" w:hAnsi="Times New Roman" w:eastAsia="仿宋_GB2312"/>
          <w:sz w:val="32"/>
          <w:szCs w:val="32"/>
        </w:rPr>
      </w:pPr>
      <w:r>
        <w:rPr>
          <w:rFonts w:hint="eastAsia" w:ascii="仿宋_GB2312" w:hAnsi="Times New Roman" w:eastAsia="仿宋_GB2312"/>
          <w:color w:val="000000"/>
          <w:sz w:val="32"/>
          <w:szCs w:val="32"/>
        </w:rPr>
        <w:t>本次分配的</w:t>
      </w:r>
      <w:r>
        <w:rPr>
          <w:rFonts w:hint="eastAsia" w:ascii="仿宋_GB2312" w:hAnsi="Times New Roman" w:eastAsia="仿宋_GB2312"/>
          <w:sz w:val="32"/>
        </w:rPr>
        <w:t>意向登记时间为</w:t>
      </w:r>
      <w:r>
        <w:rPr>
          <w:rFonts w:hint="eastAsia" w:ascii="仿宋_GB2312" w:hAnsi="Times New Roman" w:eastAsia="仿宋_GB2312"/>
          <w:sz w:val="32"/>
          <w:szCs w:val="32"/>
        </w:rPr>
        <w:t>202</w:t>
      </w:r>
      <w:r>
        <w:rPr>
          <w:rFonts w:hint="eastAsia" w:ascii="仿宋_GB2312" w:hAnsi="Times New Roman" w:eastAsia="仿宋_GB2312"/>
          <w:sz w:val="32"/>
          <w:szCs w:val="32"/>
          <w:lang w:val="en-US" w:eastAsia="zh-CN"/>
        </w:rPr>
        <w:t>2</w:t>
      </w:r>
      <w:r>
        <w:rPr>
          <w:rFonts w:hint="eastAsia" w:ascii="仿宋_GB2312" w:hAnsi="Times New Roman" w:eastAsia="仿宋_GB2312"/>
          <w:sz w:val="32"/>
          <w:szCs w:val="32"/>
        </w:rPr>
        <w:t>年</w:t>
      </w:r>
      <w:r>
        <w:rPr>
          <w:rFonts w:hint="eastAsia" w:ascii="仿宋_GB2312" w:hAnsi="Times New Roman" w:eastAsia="仿宋_GB2312"/>
          <w:sz w:val="32"/>
          <w:szCs w:val="32"/>
          <w:lang w:val="en-US" w:eastAsia="zh-CN"/>
        </w:rPr>
        <w:t>1</w:t>
      </w:r>
      <w:r>
        <w:rPr>
          <w:rFonts w:hint="eastAsia" w:ascii="仿宋_GB2312" w:hAnsi="Times New Roman" w:eastAsia="仿宋_GB2312"/>
          <w:sz w:val="32"/>
          <w:szCs w:val="32"/>
        </w:rPr>
        <w:t>月</w:t>
      </w:r>
      <w:r>
        <w:rPr>
          <w:rFonts w:hint="eastAsia" w:ascii="仿宋_GB2312" w:hAnsi="Times New Roman" w:eastAsia="仿宋_GB2312"/>
          <w:sz w:val="32"/>
          <w:szCs w:val="32"/>
          <w:lang w:val="en-US" w:eastAsia="zh-CN"/>
        </w:rPr>
        <w:t>10</w:t>
      </w:r>
      <w:r>
        <w:rPr>
          <w:rFonts w:hint="eastAsia" w:ascii="仿宋_GB2312" w:hAnsi="Times New Roman" w:eastAsia="仿宋_GB2312"/>
          <w:sz w:val="32"/>
          <w:szCs w:val="32"/>
        </w:rPr>
        <w:t>日～</w:t>
      </w:r>
      <w:r>
        <w:rPr>
          <w:rFonts w:hint="eastAsia" w:ascii="仿宋_GB2312" w:hAnsi="Times New Roman" w:eastAsia="仿宋_GB2312"/>
          <w:sz w:val="32"/>
          <w:szCs w:val="32"/>
          <w:lang w:val="en-US" w:eastAsia="zh-CN"/>
        </w:rPr>
        <w:t>1</w:t>
      </w:r>
      <w:r>
        <w:rPr>
          <w:rFonts w:hint="eastAsia" w:ascii="仿宋_GB2312" w:hAnsi="Times New Roman" w:eastAsia="仿宋_GB2312"/>
          <w:sz w:val="32"/>
          <w:szCs w:val="32"/>
        </w:rPr>
        <w:t>月</w:t>
      </w:r>
      <w:r>
        <w:rPr>
          <w:rFonts w:hint="eastAsia" w:ascii="仿宋_GB2312" w:hAnsi="Times New Roman" w:eastAsia="仿宋_GB2312"/>
          <w:sz w:val="32"/>
          <w:szCs w:val="32"/>
          <w:lang w:val="en-US" w:eastAsia="zh-CN"/>
        </w:rPr>
        <w:t>21</w:t>
      </w:r>
      <w:r>
        <w:rPr>
          <w:rFonts w:hint="eastAsia" w:ascii="仿宋_GB2312" w:hAnsi="Times New Roman" w:eastAsia="仿宋_GB2312"/>
          <w:sz w:val="32"/>
          <w:szCs w:val="32"/>
        </w:rPr>
        <w:t xml:space="preserve"> 日，于</w:t>
      </w:r>
      <w:r>
        <w:rPr>
          <w:rFonts w:hint="eastAsia" w:ascii="仿宋_GB2312" w:hAnsi="Times New Roman" w:eastAsia="仿宋_GB2312"/>
          <w:kern w:val="2"/>
          <w:sz w:val="32"/>
          <w:szCs w:val="32"/>
        </w:rPr>
        <w:t>202</w:t>
      </w:r>
      <w:r>
        <w:rPr>
          <w:rFonts w:hint="eastAsia" w:ascii="仿宋_GB2312" w:hAnsi="Times New Roman" w:eastAsia="仿宋_GB2312"/>
          <w:kern w:val="2"/>
          <w:sz w:val="32"/>
          <w:szCs w:val="32"/>
          <w:lang w:val="en-US" w:eastAsia="zh-CN"/>
        </w:rPr>
        <w:t>2</w:t>
      </w:r>
      <w:r>
        <w:rPr>
          <w:rFonts w:hint="eastAsia" w:ascii="仿宋_GB2312" w:hAnsi="Times New Roman" w:eastAsia="仿宋_GB2312"/>
          <w:kern w:val="2"/>
          <w:sz w:val="32"/>
          <w:szCs w:val="32"/>
        </w:rPr>
        <w:t>年</w:t>
      </w:r>
      <w:r>
        <w:rPr>
          <w:rFonts w:hint="eastAsia" w:ascii="仿宋_GB2312" w:hAnsi="Times New Roman" w:eastAsia="仿宋_GB2312"/>
          <w:kern w:val="2"/>
          <w:sz w:val="32"/>
          <w:szCs w:val="32"/>
          <w:lang w:val="en-US" w:eastAsia="zh-CN"/>
        </w:rPr>
        <w:t>3</w:t>
      </w:r>
      <w:r>
        <w:rPr>
          <w:rFonts w:hint="eastAsia" w:ascii="仿宋_GB2312" w:hAnsi="Times New Roman" w:eastAsia="仿宋_GB2312"/>
          <w:kern w:val="2"/>
          <w:sz w:val="32"/>
          <w:szCs w:val="32"/>
        </w:rPr>
        <w:t>月</w:t>
      </w:r>
      <w:r>
        <w:rPr>
          <w:rFonts w:hint="eastAsia" w:ascii="仿宋_GB2312" w:hAnsi="Times New Roman" w:eastAsia="仿宋_GB2312"/>
          <w:kern w:val="2"/>
          <w:sz w:val="32"/>
          <w:szCs w:val="32"/>
          <w:lang w:val="en-US" w:eastAsia="zh-CN"/>
        </w:rPr>
        <w:t>10</w:t>
      </w:r>
      <w:r>
        <w:rPr>
          <w:rFonts w:hint="eastAsia" w:ascii="仿宋_GB2312" w:hAnsi="Times New Roman" w:eastAsia="仿宋_GB2312"/>
          <w:kern w:val="2"/>
          <w:sz w:val="32"/>
          <w:szCs w:val="32"/>
        </w:rPr>
        <w:t>日</w:t>
      </w:r>
      <w:r>
        <w:rPr>
          <w:rFonts w:hint="eastAsia" w:ascii="仿宋_GB2312" w:hAnsi="Times New Roman" w:eastAsia="仿宋_GB2312"/>
          <w:sz w:val="32"/>
          <w:szCs w:val="32"/>
        </w:rPr>
        <w:t>进行摇号预分配，确定获预配租资格对象的名单。</w:t>
      </w:r>
      <w:r>
        <w:rPr>
          <w:rFonts w:ascii="Times New Roman" w:hAnsi="Times New Roman" w:eastAsia="仿宋_GB2312"/>
          <w:sz w:val="32"/>
          <w:szCs w:val="32"/>
        </w:rPr>
        <w:t>获预配租的家庭需参加资格复核</w:t>
      </w:r>
      <w:r>
        <w:rPr>
          <w:rFonts w:hint="eastAsia" w:ascii="Times New Roman" w:hAnsi="Times New Roman" w:eastAsia="仿宋_GB2312"/>
          <w:sz w:val="32"/>
          <w:szCs w:val="32"/>
        </w:rPr>
        <w:t>（资格复核时间于</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18</w:t>
      </w:r>
      <w:r>
        <w:rPr>
          <w:rFonts w:hint="eastAsia" w:ascii="Times New Roman" w:hAnsi="Times New Roman" w:eastAsia="仿宋_GB2312"/>
          <w:sz w:val="32"/>
          <w:szCs w:val="32"/>
        </w:rPr>
        <w:t>日起）</w:t>
      </w:r>
      <w:r>
        <w:rPr>
          <w:rFonts w:ascii="Times New Roman" w:hAnsi="Times New Roman" w:eastAsia="仿宋_GB2312"/>
          <w:sz w:val="32"/>
          <w:szCs w:val="32"/>
        </w:rPr>
        <w:t>，经资格复核通过后方可按规定办理入住手续</w:t>
      </w:r>
      <w:r>
        <w:rPr>
          <w:rFonts w:hint="eastAsia" w:ascii="Times New Roman" w:hAnsi="Times New Roman" w:eastAsia="仿宋_GB2312"/>
          <w:sz w:val="32"/>
          <w:szCs w:val="32"/>
        </w:rPr>
        <w:t>。</w:t>
      </w:r>
      <w:r>
        <w:rPr>
          <w:rFonts w:hint="eastAsia" w:ascii="Times New Roman" w:hAnsi="Times New Roman" w:eastAsia="仿宋_GB2312"/>
          <w:b/>
          <w:sz w:val="32"/>
          <w:szCs w:val="32"/>
        </w:rPr>
        <w:t>因碧臻花园公租房进行室内装修，具体入住时间视装修工程进度而定</w:t>
      </w:r>
      <w:r>
        <w:rPr>
          <w:rFonts w:hint="eastAsia" w:ascii="Times New Roman" w:hAnsi="Times New Roman" w:eastAsia="仿宋_GB2312"/>
          <w:sz w:val="32"/>
          <w:szCs w:val="32"/>
        </w:rPr>
        <w:t>，其他房源在资格复核通过后即可安排入住。</w:t>
      </w:r>
    </w:p>
    <w:p>
      <w:pPr>
        <w:pStyle w:val="8"/>
        <w:shd w:val="clear" w:color="auto" w:fill="FFFFFF"/>
        <w:spacing w:before="0" w:beforeAutospacing="0" w:after="0" w:afterAutospacing="0"/>
        <w:ind w:left="319" w:leftChars="152" w:firstLine="640" w:firstLineChars="200"/>
        <w:jc w:val="both"/>
        <w:rPr>
          <w:rFonts w:eastAsia="仿宋_GB2312"/>
          <w:sz w:val="32"/>
          <w:szCs w:val="32"/>
        </w:rPr>
      </w:pPr>
      <w:r>
        <w:rPr>
          <w:rFonts w:hint="eastAsia" w:ascii="Times New Roman" w:hAnsi="Times New Roman" w:eastAsia="仿宋_GB2312"/>
          <w:sz w:val="32"/>
          <w:szCs w:val="32"/>
        </w:rPr>
        <w:t>若想参加本次分配的有效轮候对象，可于</w:t>
      </w:r>
      <w:r>
        <w:rPr>
          <w:rFonts w:hint="eastAsia" w:ascii="仿宋_GB2312" w:hAnsi="Times New Roman" w:eastAsia="仿宋_GB2312"/>
          <w:sz w:val="32"/>
          <w:szCs w:val="32"/>
        </w:rPr>
        <w:t>202</w:t>
      </w:r>
      <w:r>
        <w:rPr>
          <w:rFonts w:hint="eastAsia" w:ascii="仿宋_GB2312" w:hAnsi="Times New Roman" w:eastAsia="仿宋_GB2312"/>
          <w:sz w:val="32"/>
          <w:szCs w:val="32"/>
          <w:lang w:val="en-US" w:eastAsia="zh-CN"/>
        </w:rPr>
        <w:t>2</w:t>
      </w:r>
      <w:r>
        <w:rPr>
          <w:rFonts w:hint="eastAsia" w:ascii="仿宋_GB2312" w:hAnsi="Times New Roman" w:eastAsia="仿宋_GB2312"/>
          <w:sz w:val="32"/>
          <w:szCs w:val="32"/>
        </w:rPr>
        <w:t>年</w:t>
      </w:r>
      <w:r>
        <w:rPr>
          <w:rFonts w:hint="eastAsia" w:ascii="仿宋_GB2312" w:hAnsi="Times New Roman" w:eastAsia="仿宋_GB2312"/>
          <w:sz w:val="32"/>
          <w:szCs w:val="32"/>
          <w:lang w:val="en-US" w:eastAsia="zh-CN"/>
        </w:rPr>
        <w:t>1</w:t>
      </w:r>
      <w:r>
        <w:rPr>
          <w:rFonts w:hint="eastAsia" w:ascii="仿宋_GB2312" w:hAnsi="Times New Roman" w:eastAsia="仿宋_GB2312"/>
          <w:sz w:val="32"/>
          <w:szCs w:val="32"/>
        </w:rPr>
        <w:t>月</w:t>
      </w:r>
      <w:r>
        <w:rPr>
          <w:rFonts w:hint="eastAsia" w:ascii="仿宋_GB2312" w:hAnsi="Times New Roman" w:eastAsia="仿宋_GB2312"/>
          <w:sz w:val="32"/>
          <w:szCs w:val="32"/>
          <w:lang w:val="en-US" w:eastAsia="zh-CN"/>
        </w:rPr>
        <w:t>10</w:t>
      </w:r>
      <w:r>
        <w:rPr>
          <w:rFonts w:hint="eastAsia" w:ascii="仿宋_GB2312" w:hAnsi="Times New Roman" w:eastAsia="仿宋_GB2312"/>
          <w:sz w:val="32"/>
          <w:szCs w:val="32"/>
        </w:rPr>
        <w:t>日～</w:t>
      </w:r>
      <w:r>
        <w:rPr>
          <w:rFonts w:hint="eastAsia" w:ascii="仿宋_GB2312" w:hAnsi="Times New Roman" w:eastAsia="仿宋_GB2312"/>
          <w:sz w:val="32"/>
          <w:szCs w:val="32"/>
          <w:lang w:val="en-US" w:eastAsia="zh-CN"/>
        </w:rPr>
        <w:t>1</w:t>
      </w:r>
      <w:r>
        <w:rPr>
          <w:rFonts w:hint="eastAsia" w:ascii="仿宋_GB2312" w:hAnsi="Times New Roman" w:eastAsia="仿宋_GB2312"/>
          <w:sz w:val="32"/>
          <w:szCs w:val="32"/>
        </w:rPr>
        <w:t>月</w:t>
      </w:r>
      <w:r>
        <w:rPr>
          <w:rFonts w:hint="eastAsia" w:ascii="仿宋_GB2312" w:hAnsi="Times New Roman" w:eastAsia="仿宋_GB2312"/>
          <w:sz w:val="32"/>
          <w:szCs w:val="32"/>
          <w:lang w:val="en-US" w:eastAsia="zh-CN"/>
        </w:rPr>
        <w:t>18</w:t>
      </w:r>
      <w:r>
        <w:rPr>
          <w:rFonts w:hint="eastAsia" w:ascii="仿宋_GB2312" w:hAnsi="Times New Roman" w:eastAsia="仿宋_GB2312"/>
          <w:sz w:val="32"/>
          <w:szCs w:val="32"/>
        </w:rPr>
        <w:t>日期间到</w:t>
      </w:r>
      <w:r>
        <w:rPr>
          <w:rFonts w:ascii="Times New Roman" w:hAnsi="Times New Roman" w:eastAsia="仿宋_GB2312"/>
          <w:sz w:val="32"/>
        </w:rPr>
        <w:t>户籍所在地</w:t>
      </w:r>
      <w:r>
        <w:rPr>
          <w:rFonts w:ascii="Times New Roman" w:hAnsi="Times New Roman" w:eastAsia="仿宋_GB2312"/>
          <w:sz w:val="32"/>
          <w:szCs w:val="32"/>
        </w:rPr>
        <w:t>街</w:t>
      </w:r>
      <w:r>
        <w:rPr>
          <w:rFonts w:hint="eastAsia" w:ascii="Times New Roman" w:hAnsi="Times New Roman" w:eastAsia="仿宋_GB2312"/>
          <w:sz w:val="32"/>
          <w:szCs w:val="32"/>
        </w:rPr>
        <w:t>道办事处（镇政府）</w:t>
      </w:r>
      <w:r>
        <w:rPr>
          <w:rFonts w:ascii="Times New Roman" w:hAnsi="Times New Roman" w:eastAsia="仿宋_GB2312"/>
          <w:sz w:val="32"/>
        </w:rPr>
        <w:t>进行意向登记</w:t>
      </w:r>
      <w:r>
        <w:rPr>
          <w:rFonts w:hint="eastAsia" w:ascii="Times New Roman" w:hAnsi="Times New Roman" w:eastAsia="仿宋_GB2312"/>
          <w:sz w:val="32"/>
        </w:rPr>
        <w:t>，填写</w:t>
      </w:r>
      <w:r>
        <w:rPr>
          <w:rFonts w:eastAsia="仿宋_GB2312"/>
          <w:sz w:val="32"/>
          <w:szCs w:val="32"/>
        </w:rPr>
        <w:t>《广州市</w:t>
      </w:r>
      <w:r>
        <w:rPr>
          <w:rFonts w:hint="eastAsia" w:eastAsia="仿宋_GB2312"/>
          <w:sz w:val="32"/>
          <w:szCs w:val="32"/>
        </w:rPr>
        <w:t>番禺区</w:t>
      </w:r>
      <w:r>
        <w:rPr>
          <w:rFonts w:eastAsia="仿宋_GB2312"/>
          <w:sz w:val="32"/>
          <w:szCs w:val="32"/>
        </w:rPr>
        <w:t>公共租赁住房分配意向登记表》</w:t>
      </w:r>
      <w:r>
        <w:rPr>
          <w:rFonts w:hint="eastAsia" w:eastAsia="仿宋_GB2312"/>
          <w:sz w:val="32"/>
          <w:szCs w:val="32"/>
        </w:rPr>
        <w:t>（附件2），及按表格要求递交相关资料。</w:t>
      </w:r>
    </w:p>
    <w:p>
      <w:pPr>
        <w:pStyle w:val="8"/>
        <w:shd w:val="clear" w:color="auto" w:fill="FFFFFF"/>
        <w:spacing w:before="0" w:beforeAutospacing="0" w:after="0" w:afterAutospacing="0"/>
        <w:ind w:firstLine="640" w:firstLineChars="200"/>
        <w:jc w:val="both"/>
        <w:rPr>
          <w:rFonts w:ascii="Times New Roman" w:hAnsi="Times New Roman" w:eastAsia="仿宋_GB2312"/>
          <w:sz w:val="32"/>
          <w:szCs w:val="32"/>
        </w:rPr>
      </w:pPr>
    </w:p>
    <w:tbl>
      <w:tblPr>
        <w:tblStyle w:val="12"/>
        <w:tblW w:w="8643" w:type="dxa"/>
        <w:jc w:val="center"/>
        <w:tblInd w:w="4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6"/>
        <w:gridCol w:w="3552"/>
        <w:gridCol w:w="876"/>
        <w:gridCol w:w="1121"/>
        <w:gridCol w:w="1462"/>
        <w:gridCol w:w="1115"/>
        <w:gridCol w:w="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31" w:type="dxa"/>
          <w:trHeight w:val="979" w:hRule="atLeast"/>
          <w:jc w:val="center"/>
        </w:trPr>
        <w:tc>
          <w:tcPr>
            <w:tcW w:w="8612" w:type="dxa"/>
            <w:gridSpan w:val="6"/>
            <w:tcBorders>
              <w:top w:val="nil"/>
              <w:left w:val="nil"/>
              <w:bottom w:val="single" w:color="000000" w:sz="4" w:space="0"/>
              <w:right w:val="nil"/>
            </w:tcBorders>
            <w:vAlign w:val="center"/>
          </w:tcPr>
          <w:p>
            <w:pPr>
              <w:keepNext w:val="0"/>
              <w:keepLines w:val="0"/>
              <w:suppressLineNumbers w:val="0"/>
              <w:spacing w:before="0" w:beforeAutospacing="0" w:after="0" w:afterAutospacing="0"/>
              <w:ind w:left="0" w:right="0"/>
              <w:jc w:val="center"/>
              <w:rPr>
                <w:rFonts w:hint="default"/>
                <w:b/>
                <w:bCs/>
                <w:sz w:val="32"/>
              </w:rPr>
            </w:pPr>
            <w:r>
              <w:rPr>
                <w:rFonts w:hint="eastAsia"/>
                <w:b/>
                <w:bCs/>
                <w:sz w:val="32"/>
              </w:rPr>
              <w:t>一、市桥片区直管公房项目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0" w:hRule="atLeast"/>
          <w:jc w:val="center"/>
        </w:trPr>
        <w:tc>
          <w:tcPr>
            <w:tcW w:w="486" w:type="dxa"/>
            <w:tcBorders>
              <w:top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eastAsia="仿宋_GB2312"/>
                <w:sz w:val="22"/>
              </w:rPr>
            </w:pPr>
            <w:r>
              <w:rPr>
                <w:rFonts w:hint="eastAsia" w:ascii="仿宋_GB2312" w:eastAsia="仿宋_GB2312"/>
                <w:sz w:val="22"/>
              </w:rPr>
              <w:t>序号</w:t>
            </w:r>
          </w:p>
        </w:tc>
        <w:tc>
          <w:tcPr>
            <w:tcW w:w="3552" w:type="dxa"/>
            <w:tcBorders>
              <w:top w:val="single" w:color="000000" w:sz="4" w:space="0"/>
              <w:left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eastAsia="仿宋_GB2312"/>
                <w:sz w:val="22"/>
              </w:rPr>
            </w:pPr>
            <w:r>
              <w:rPr>
                <w:rFonts w:hint="eastAsia" w:ascii="仿宋_GB2312" w:eastAsia="仿宋_GB2312"/>
                <w:sz w:val="22"/>
              </w:rPr>
              <w:t>地址</w:t>
            </w:r>
          </w:p>
        </w:tc>
        <w:tc>
          <w:tcPr>
            <w:tcW w:w="876" w:type="dxa"/>
            <w:tcBorders>
              <w:top w:val="single" w:color="000000" w:sz="4" w:space="0"/>
              <w:left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eastAsia="仿宋_GB2312"/>
                <w:sz w:val="22"/>
              </w:rPr>
            </w:pPr>
            <w:r>
              <w:rPr>
                <w:rFonts w:hint="eastAsia" w:ascii="仿宋_GB2312" w:eastAsia="仿宋_GB2312"/>
                <w:sz w:val="22"/>
              </w:rPr>
              <w:t>建筑面积（</w:t>
            </w:r>
            <w:r>
              <w:rPr>
                <w:rFonts w:hint="eastAsia" w:ascii="宋体" w:hAnsi="宋体" w:cs="宋体"/>
                <w:sz w:val="22"/>
              </w:rPr>
              <w:t>㎡</w:t>
            </w:r>
            <w:r>
              <w:rPr>
                <w:rFonts w:hint="eastAsia" w:ascii="仿宋_GB2312" w:hAnsi="仿宋_GB2312" w:eastAsia="仿宋_GB2312" w:cs="仿宋_GB2312"/>
                <w:sz w:val="22"/>
              </w:rPr>
              <w:t>）</w:t>
            </w:r>
          </w:p>
        </w:tc>
        <w:tc>
          <w:tcPr>
            <w:tcW w:w="1121" w:type="dxa"/>
            <w:tcBorders>
              <w:top w:val="single" w:color="000000" w:sz="4" w:space="0"/>
              <w:left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eastAsia="仿宋_GB2312"/>
                <w:sz w:val="22"/>
              </w:rPr>
            </w:pPr>
            <w:r>
              <w:rPr>
                <w:rFonts w:hint="eastAsia" w:ascii="仿宋_GB2312" w:eastAsia="仿宋_GB2312"/>
                <w:sz w:val="22"/>
              </w:rPr>
              <w:t>户型</w:t>
            </w:r>
          </w:p>
        </w:tc>
        <w:tc>
          <w:tcPr>
            <w:tcW w:w="1462" w:type="dxa"/>
            <w:tcBorders>
              <w:top w:val="single" w:color="000000" w:sz="4" w:space="0"/>
              <w:left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eastAsia="仿宋_GB2312"/>
                <w:sz w:val="22"/>
              </w:rPr>
            </w:pPr>
            <w:r>
              <w:rPr>
                <w:rFonts w:hint="eastAsia" w:ascii="仿宋_GB2312" w:hAnsi="宋体" w:eastAsia="仿宋_GB2312" w:cs="宋体"/>
                <w:kern w:val="0"/>
                <w:sz w:val="22"/>
              </w:rPr>
              <w:t>租金标准（元/</w:t>
            </w:r>
            <w:r>
              <w:rPr>
                <w:rFonts w:hint="eastAsia" w:ascii="宋体" w:hAnsi="宋体" w:cs="宋体"/>
                <w:kern w:val="0"/>
                <w:sz w:val="22"/>
              </w:rPr>
              <w:t>㎡·</w:t>
            </w:r>
            <w:r>
              <w:rPr>
                <w:rFonts w:hint="eastAsia" w:ascii="仿宋_GB2312" w:hAnsi="宋体" w:eastAsia="仿宋_GB2312" w:cs="宋体"/>
                <w:kern w:val="0"/>
                <w:sz w:val="22"/>
              </w:rPr>
              <w:t>月）</w:t>
            </w:r>
          </w:p>
        </w:tc>
        <w:tc>
          <w:tcPr>
            <w:tcW w:w="1146" w:type="dxa"/>
            <w:gridSpan w:val="2"/>
            <w:tcBorders>
              <w:top w:val="single" w:color="000000" w:sz="4" w:space="0"/>
              <w:lef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eastAsia="仿宋_GB2312"/>
                <w:sz w:val="22"/>
              </w:rPr>
            </w:pPr>
            <w:r>
              <w:rPr>
                <w:rFonts w:hint="eastAsia" w:ascii="仿宋_GB2312" w:eastAsia="仿宋_GB2312"/>
                <w:sz w:val="22"/>
              </w:rPr>
              <w:t>垃圾清理费（元/年）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市桥街环城西路171号102</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57.8</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三房一厅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2</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市桥街环城西路171号103</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62.2</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三房一厅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3</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市桥街大北路前进大街22巷5号105</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42.38</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两房一厅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4</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市桥立新大街43号原市中宿舍401</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57.4</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两房一厅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5</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市桥立新大街43号原市中宿舍202</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57.4</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两房一厅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6</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市桥街万丰路4幢602</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61.8</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两房一厅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7</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市桥街三堂路金城大街8巷3号101</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30.7</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一房一厅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hAnsi="宋体" w:eastAsia="仿宋_GB2312" w:cs="宋体"/>
                <w:sz w:val="22"/>
              </w:rPr>
              <w:t>8</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市桥街前进街10巷7号201</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68</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两房一厅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hAnsi="宋体" w:eastAsia="仿宋_GB2312" w:cs="宋体"/>
                <w:sz w:val="22"/>
              </w:rPr>
              <w:t>9</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市桥街立新大街43号302</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rPr>
            </w:pPr>
            <w:r>
              <w:rPr>
                <w:rFonts w:hint="eastAsia" w:ascii="仿宋_GB2312" w:hAnsi="Arial" w:eastAsia="仿宋_GB2312" w:cs="Arial"/>
              </w:rPr>
              <w:t>57.4</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rPr>
            </w:pPr>
            <w:r>
              <w:rPr>
                <w:rFonts w:hint="eastAsia" w:ascii="仿宋_GB2312" w:hAnsi="Arial" w:eastAsia="仿宋_GB2312" w:cs="Arial"/>
              </w:rPr>
              <w:t>两房一厅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hAnsi="宋体" w:eastAsia="仿宋_GB2312" w:cs="宋体"/>
                <w:sz w:val="22"/>
              </w:rPr>
              <w:t>10</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市桥街侨联大街2巷6号102</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rPr>
            </w:pPr>
            <w:r>
              <w:rPr>
                <w:rFonts w:hint="eastAsia" w:ascii="仿宋_GB2312" w:hAnsi="Arial" w:eastAsia="仿宋_GB2312" w:cs="Arial"/>
              </w:rPr>
              <w:t>39.08</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rPr>
            </w:pPr>
            <w:r>
              <w:rPr>
                <w:rFonts w:hint="eastAsia" w:ascii="仿宋_GB2312" w:hAnsi="Arial" w:eastAsia="仿宋_GB2312" w:cs="Arial"/>
              </w:rPr>
              <w:t>一房一厅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hAnsi="宋体" w:eastAsia="仿宋_GB2312" w:cs="宋体"/>
                <w:sz w:val="22"/>
              </w:rPr>
              <w:t>11</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市桥街大北路前进大街24巷8号102</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rPr>
            </w:pPr>
            <w:r>
              <w:rPr>
                <w:rFonts w:hint="eastAsia" w:ascii="仿宋_GB2312" w:hAnsi="Arial" w:eastAsia="仿宋_GB2312" w:cs="Arial"/>
              </w:rPr>
              <w:t>53.8</w:t>
            </w:r>
          </w:p>
        </w:tc>
        <w:tc>
          <w:tcPr>
            <w:tcW w:w="1121"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rPr>
            </w:pPr>
            <w:r>
              <w:rPr>
                <w:rFonts w:hint="eastAsia" w:ascii="仿宋_GB2312" w:hAnsi="Arial" w:eastAsia="仿宋_GB2312" w:cs="Arial"/>
              </w:rPr>
              <w:t>两房一厅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486" w:type="dxa"/>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hAnsi="宋体" w:eastAsia="仿宋_GB2312" w:cs="宋体"/>
                <w:sz w:val="22"/>
              </w:rPr>
              <w:t>12</w:t>
            </w:r>
          </w:p>
        </w:tc>
        <w:tc>
          <w:tcPr>
            <w:tcW w:w="3552" w:type="dxa"/>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市桥街大东7巷1号2梯603</w:t>
            </w:r>
          </w:p>
        </w:tc>
        <w:tc>
          <w:tcPr>
            <w:tcW w:w="876" w:type="dxa"/>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rPr>
            </w:pPr>
            <w:r>
              <w:rPr>
                <w:rFonts w:hint="eastAsia" w:ascii="仿宋_GB2312" w:hAnsi="Arial" w:eastAsia="仿宋_GB2312" w:cs="Arial"/>
              </w:rPr>
              <w:t>38.1</w:t>
            </w:r>
          </w:p>
        </w:tc>
        <w:tc>
          <w:tcPr>
            <w:tcW w:w="1121" w:type="dxa"/>
            <w:vAlign w:val="bottom"/>
          </w:tcPr>
          <w:p>
            <w:pPr>
              <w:keepNext w:val="0"/>
              <w:keepLines w:val="0"/>
              <w:suppressLineNumbers w:val="0"/>
              <w:spacing w:before="0" w:beforeAutospacing="0" w:after="0" w:afterAutospacing="0"/>
              <w:ind w:left="0" w:right="0"/>
              <w:rPr>
                <w:rFonts w:hint="default" w:ascii="仿宋_GB2312" w:hAnsi="Arial" w:eastAsia="仿宋_GB2312" w:cs="Arial"/>
              </w:rPr>
            </w:pPr>
            <w:r>
              <w:rPr>
                <w:rFonts w:hint="eastAsia" w:ascii="仿宋_GB2312" w:hAnsi="Arial" w:eastAsia="仿宋_GB2312" w:cs="Arial"/>
              </w:rPr>
              <w:t>一房一厅</w:t>
            </w:r>
          </w:p>
        </w:tc>
        <w:tc>
          <w:tcPr>
            <w:tcW w:w="1462" w:type="dxa"/>
            <w:vAlign w:val="center"/>
          </w:tcPr>
          <w:p>
            <w:pPr>
              <w:keepNext w:val="0"/>
              <w:keepLines w:val="0"/>
              <w:suppressLineNumbers w:val="0"/>
              <w:spacing w:before="0" w:beforeAutospacing="0" w:after="0" w:afterAutospacing="0"/>
              <w:ind w:left="0" w:right="0"/>
              <w:jc w:val="center"/>
              <w:rPr>
                <w:rFonts w:hint="default"/>
                <w:sz w:val="22"/>
              </w:rPr>
            </w:pPr>
            <w:r>
              <w:rPr>
                <w:rFonts w:hint="eastAsia"/>
                <w:sz w:val="22"/>
              </w:rPr>
              <w:t>15.5</w:t>
            </w:r>
          </w:p>
        </w:tc>
        <w:tc>
          <w:tcPr>
            <w:tcW w:w="114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130</w:t>
            </w:r>
          </w:p>
        </w:tc>
      </w:tr>
    </w:tbl>
    <w:p>
      <w:pPr>
        <w:pStyle w:val="2"/>
        <w:spacing w:line="600" w:lineRule="exact"/>
        <w:ind w:left="0" w:firstLine="470" w:firstLineChars="196"/>
        <w:rPr>
          <w:rFonts w:ascii="仿宋_GB2312"/>
          <w:sz w:val="24"/>
        </w:rPr>
      </w:pPr>
    </w:p>
    <w:tbl>
      <w:tblPr>
        <w:tblStyle w:val="12"/>
        <w:tblW w:w="8522" w:type="dxa"/>
        <w:jc w:val="center"/>
        <w:tblInd w:w="0" w:type="dxa"/>
        <w:tblLayout w:type="fixed"/>
        <w:tblCellMar>
          <w:top w:w="0" w:type="dxa"/>
          <w:left w:w="108" w:type="dxa"/>
          <w:bottom w:w="0" w:type="dxa"/>
          <w:right w:w="108" w:type="dxa"/>
        </w:tblCellMar>
      </w:tblPr>
      <w:tblGrid>
        <w:gridCol w:w="426"/>
        <w:gridCol w:w="3932"/>
        <w:gridCol w:w="1275"/>
        <w:gridCol w:w="1416"/>
        <w:gridCol w:w="1473"/>
      </w:tblGrid>
      <w:tr>
        <w:tblPrEx>
          <w:tblLayout w:type="fixed"/>
          <w:tblCellMar>
            <w:top w:w="0" w:type="dxa"/>
            <w:left w:w="108" w:type="dxa"/>
            <w:bottom w:w="0" w:type="dxa"/>
            <w:right w:w="108" w:type="dxa"/>
          </w:tblCellMar>
        </w:tblPrEx>
        <w:trPr>
          <w:trHeight w:val="780" w:hRule="atLeast"/>
          <w:jc w:val="center"/>
        </w:trPr>
        <w:tc>
          <w:tcPr>
            <w:tcW w:w="8522" w:type="dxa"/>
            <w:gridSpan w:val="5"/>
            <w:tcBorders>
              <w:bottom w:val="single" w:color="000000" w:sz="4" w:space="0"/>
            </w:tcBorders>
            <w:vAlign w:val="center"/>
          </w:tcPr>
          <w:p>
            <w:pPr>
              <w:keepNext w:val="0"/>
              <w:keepLines w:val="0"/>
              <w:suppressLineNumbers w:val="0"/>
              <w:spacing w:before="0" w:beforeAutospacing="0" w:after="0" w:afterAutospacing="0"/>
              <w:ind w:left="0" w:right="0"/>
              <w:jc w:val="center"/>
              <w:rPr>
                <w:rFonts w:hint="default"/>
                <w:b/>
                <w:bCs/>
              </w:rPr>
            </w:pPr>
            <w:r>
              <w:rPr>
                <w:rFonts w:hint="eastAsia"/>
                <w:b/>
                <w:bCs/>
                <w:sz w:val="32"/>
              </w:rPr>
              <w:t>二、西片区直管公房项目</w:t>
            </w:r>
          </w:p>
        </w:tc>
      </w:tr>
      <w:tr>
        <w:tblPrEx>
          <w:tblLayout w:type="fixed"/>
          <w:tblCellMar>
            <w:top w:w="0" w:type="dxa"/>
            <w:left w:w="108" w:type="dxa"/>
            <w:bottom w:w="0" w:type="dxa"/>
            <w:right w:w="108" w:type="dxa"/>
          </w:tblCellMar>
        </w:tblPrEx>
        <w:trPr>
          <w:trHeight w:val="675"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序号</w:t>
            </w:r>
          </w:p>
        </w:tc>
        <w:tc>
          <w:tcPr>
            <w:tcW w:w="393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地址</w:t>
            </w:r>
          </w:p>
        </w:tc>
        <w:tc>
          <w:tcPr>
            <w:tcW w:w="127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建筑面积</w:t>
            </w:r>
            <w:r>
              <w:rPr>
                <w:rFonts w:hint="eastAsia"/>
                <w:sz w:val="22"/>
              </w:rPr>
              <w:t>（㎡）</w:t>
            </w:r>
          </w:p>
        </w:tc>
        <w:tc>
          <w:tcPr>
            <w:tcW w:w="141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户型</w:t>
            </w:r>
          </w:p>
        </w:tc>
        <w:tc>
          <w:tcPr>
            <w:tcW w:w="147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租金标准（元/㎡·月）</w:t>
            </w:r>
          </w:p>
        </w:tc>
      </w:tr>
      <w:tr>
        <w:tblPrEx>
          <w:tblLayout w:type="fixed"/>
          <w:tblCellMar>
            <w:top w:w="0" w:type="dxa"/>
            <w:left w:w="108" w:type="dxa"/>
            <w:bottom w:w="0" w:type="dxa"/>
            <w:right w:w="108" w:type="dxa"/>
          </w:tblCellMar>
        </w:tblPrEx>
        <w:trPr>
          <w:trHeight w:val="300" w:hRule="atLeast"/>
          <w:jc w:val="center"/>
        </w:trPr>
        <w:tc>
          <w:tcPr>
            <w:tcW w:w="4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spacing w:before="0" w:beforeAutospacing="0" w:after="0" w:afterAutospacing="0"/>
              <w:ind w:left="0" w:right="0"/>
              <w:jc w:val="center"/>
              <w:rPr>
                <w:rFonts w:hint="default"/>
              </w:rPr>
            </w:pPr>
            <w:r>
              <w:rPr>
                <w:rFonts w:hint="eastAsia"/>
              </w:rPr>
              <w:t>1</w:t>
            </w:r>
          </w:p>
        </w:tc>
        <w:tc>
          <w:tcPr>
            <w:tcW w:w="393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钟村街塘坊大街22号302</w:t>
            </w:r>
          </w:p>
        </w:tc>
        <w:tc>
          <w:tcPr>
            <w:tcW w:w="127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63.5</w:t>
            </w:r>
          </w:p>
        </w:tc>
        <w:tc>
          <w:tcPr>
            <w:tcW w:w="141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两房一厅</w:t>
            </w:r>
          </w:p>
        </w:tc>
        <w:tc>
          <w:tcPr>
            <w:tcW w:w="147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15.5</w:t>
            </w:r>
          </w:p>
        </w:tc>
      </w:tr>
      <w:tr>
        <w:tblPrEx>
          <w:tblLayout w:type="fixed"/>
          <w:tblCellMar>
            <w:top w:w="0" w:type="dxa"/>
            <w:left w:w="108" w:type="dxa"/>
            <w:bottom w:w="0" w:type="dxa"/>
            <w:right w:w="108" w:type="dxa"/>
          </w:tblCellMar>
        </w:tblPrEx>
        <w:trPr>
          <w:trHeight w:val="285" w:hRule="atLeast"/>
          <w:jc w:val="center"/>
        </w:trPr>
        <w:tc>
          <w:tcPr>
            <w:tcW w:w="4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spacing w:before="0" w:beforeAutospacing="0" w:after="0" w:afterAutospacing="0"/>
              <w:ind w:left="0" w:right="0"/>
              <w:jc w:val="center"/>
              <w:rPr>
                <w:rFonts w:hint="default"/>
              </w:rPr>
            </w:pPr>
            <w:r>
              <w:rPr>
                <w:rFonts w:hint="eastAsia"/>
              </w:rPr>
              <w:t>2</w:t>
            </w:r>
          </w:p>
        </w:tc>
        <w:tc>
          <w:tcPr>
            <w:tcW w:w="393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钟村街云市西路7号103</w:t>
            </w:r>
          </w:p>
        </w:tc>
        <w:tc>
          <w:tcPr>
            <w:tcW w:w="127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39</w:t>
            </w:r>
          </w:p>
        </w:tc>
        <w:tc>
          <w:tcPr>
            <w:tcW w:w="141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一房一厅</w:t>
            </w:r>
          </w:p>
        </w:tc>
        <w:tc>
          <w:tcPr>
            <w:tcW w:w="147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15.5</w:t>
            </w:r>
          </w:p>
        </w:tc>
      </w:tr>
      <w:tr>
        <w:tblPrEx>
          <w:tblLayout w:type="fixed"/>
          <w:tblCellMar>
            <w:top w:w="0" w:type="dxa"/>
            <w:left w:w="108" w:type="dxa"/>
            <w:bottom w:w="0" w:type="dxa"/>
            <w:right w:w="108" w:type="dxa"/>
          </w:tblCellMar>
        </w:tblPrEx>
        <w:trPr>
          <w:trHeight w:val="285" w:hRule="atLeast"/>
          <w:jc w:val="center"/>
        </w:trPr>
        <w:tc>
          <w:tcPr>
            <w:tcW w:w="4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spacing w:before="0" w:beforeAutospacing="0" w:after="0" w:afterAutospacing="0"/>
              <w:ind w:left="0" w:right="0"/>
              <w:jc w:val="center"/>
              <w:rPr>
                <w:rFonts w:hint="default"/>
              </w:rPr>
            </w:pPr>
            <w:r>
              <w:rPr>
                <w:rFonts w:hint="eastAsia"/>
              </w:rPr>
              <w:t>3</w:t>
            </w:r>
          </w:p>
        </w:tc>
        <w:tc>
          <w:tcPr>
            <w:tcW w:w="393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钟村街人民路沙田大街1巷2号203</w:t>
            </w:r>
          </w:p>
        </w:tc>
        <w:tc>
          <w:tcPr>
            <w:tcW w:w="127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39.17</w:t>
            </w:r>
          </w:p>
        </w:tc>
        <w:tc>
          <w:tcPr>
            <w:tcW w:w="141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hAnsi="Arial" w:eastAsia="仿宋_GB2312" w:cs="Arial"/>
                <w:sz w:val="24"/>
              </w:rPr>
            </w:pPr>
            <w:r>
              <w:rPr>
                <w:rFonts w:hint="eastAsia" w:ascii="仿宋_GB2312" w:hAnsi="Arial" w:eastAsia="仿宋_GB2312" w:cs="Arial"/>
              </w:rPr>
              <w:t>两房一厅</w:t>
            </w:r>
          </w:p>
        </w:tc>
        <w:tc>
          <w:tcPr>
            <w:tcW w:w="147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15.5</w:t>
            </w:r>
          </w:p>
        </w:tc>
      </w:tr>
    </w:tbl>
    <w:p>
      <w:pPr>
        <w:rPr>
          <w:rFonts w:eastAsia="黑体"/>
          <w:b/>
          <w:sz w:val="28"/>
          <w:szCs w:val="28"/>
        </w:rPr>
      </w:pPr>
    </w:p>
    <w:tbl>
      <w:tblPr>
        <w:tblStyle w:val="12"/>
        <w:tblW w:w="8522" w:type="dxa"/>
        <w:jc w:val="center"/>
        <w:tblInd w:w="0" w:type="dxa"/>
        <w:tblLayout w:type="fixed"/>
        <w:tblCellMar>
          <w:top w:w="0" w:type="dxa"/>
          <w:left w:w="108" w:type="dxa"/>
          <w:bottom w:w="0" w:type="dxa"/>
          <w:right w:w="108" w:type="dxa"/>
        </w:tblCellMar>
      </w:tblPr>
      <w:tblGrid>
        <w:gridCol w:w="426"/>
        <w:gridCol w:w="3624"/>
        <w:gridCol w:w="875"/>
        <w:gridCol w:w="849"/>
        <w:gridCol w:w="1419"/>
        <w:gridCol w:w="1329"/>
      </w:tblGrid>
      <w:tr>
        <w:tblPrEx>
          <w:tblLayout w:type="fixed"/>
          <w:tblCellMar>
            <w:top w:w="0" w:type="dxa"/>
            <w:left w:w="108" w:type="dxa"/>
            <w:bottom w:w="0" w:type="dxa"/>
            <w:right w:w="108" w:type="dxa"/>
          </w:tblCellMar>
        </w:tblPrEx>
        <w:trPr>
          <w:trHeight w:val="780" w:hRule="atLeast"/>
          <w:jc w:val="center"/>
        </w:trPr>
        <w:tc>
          <w:tcPr>
            <w:tcW w:w="8522" w:type="dxa"/>
            <w:gridSpan w:val="6"/>
            <w:tcBorders>
              <w:bottom w:val="single" w:color="000000" w:sz="4" w:space="0"/>
            </w:tcBorders>
            <w:vAlign w:val="center"/>
          </w:tcPr>
          <w:p>
            <w:pPr>
              <w:keepNext w:val="0"/>
              <w:keepLines w:val="0"/>
              <w:suppressLineNumbers w:val="0"/>
              <w:spacing w:before="0" w:beforeAutospacing="0" w:after="0" w:afterAutospacing="0"/>
              <w:ind w:left="0" w:right="0"/>
              <w:jc w:val="center"/>
              <w:rPr>
                <w:rFonts w:hint="default"/>
                <w:b/>
                <w:bCs/>
              </w:rPr>
            </w:pPr>
            <w:r>
              <w:rPr>
                <w:rFonts w:hint="eastAsia"/>
                <w:b/>
                <w:bCs/>
                <w:sz w:val="32"/>
              </w:rPr>
              <w:t>三、石楼镇清怡居公租房项目</w:t>
            </w:r>
          </w:p>
        </w:tc>
      </w:tr>
      <w:tr>
        <w:tblPrEx>
          <w:tblLayout w:type="fixed"/>
          <w:tblCellMar>
            <w:top w:w="0" w:type="dxa"/>
            <w:left w:w="108" w:type="dxa"/>
            <w:bottom w:w="0" w:type="dxa"/>
            <w:right w:w="108" w:type="dxa"/>
          </w:tblCellMar>
        </w:tblPrEx>
        <w:trPr>
          <w:trHeight w:val="675"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序号</w:t>
            </w:r>
          </w:p>
        </w:tc>
        <w:tc>
          <w:tcPr>
            <w:tcW w:w="3624"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地址</w:t>
            </w:r>
          </w:p>
        </w:tc>
        <w:tc>
          <w:tcPr>
            <w:tcW w:w="87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建筑面积</w:t>
            </w:r>
            <w:r>
              <w:rPr>
                <w:rFonts w:hint="eastAsia"/>
                <w:sz w:val="22"/>
              </w:rPr>
              <w:t>（㎡）</w:t>
            </w:r>
          </w:p>
        </w:tc>
        <w:tc>
          <w:tcPr>
            <w:tcW w:w="84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户型</w:t>
            </w:r>
          </w:p>
        </w:tc>
        <w:tc>
          <w:tcPr>
            <w:tcW w:w="1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租金标准（元/㎡·月）</w:t>
            </w:r>
          </w:p>
        </w:tc>
        <w:tc>
          <w:tcPr>
            <w:tcW w:w="132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物管费</w:t>
            </w:r>
            <w:r>
              <w:rPr>
                <w:rFonts w:hint="eastAsia"/>
                <w:sz w:val="22"/>
              </w:rPr>
              <w:t>（元/㎡·月）</w:t>
            </w:r>
          </w:p>
        </w:tc>
      </w:tr>
      <w:tr>
        <w:tblPrEx>
          <w:tblLayout w:type="fixed"/>
          <w:tblCellMar>
            <w:top w:w="0" w:type="dxa"/>
            <w:left w:w="108" w:type="dxa"/>
            <w:bottom w:w="0" w:type="dxa"/>
            <w:right w:w="108" w:type="dxa"/>
          </w:tblCellMar>
        </w:tblPrEx>
        <w:trPr>
          <w:trHeight w:val="30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1</w:t>
            </w:r>
          </w:p>
        </w:tc>
        <w:tc>
          <w:tcPr>
            <w:tcW w:w="3624"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石楼镇珠江路81号清怡居5栋603</w:t>
            </w:r>
          </w:p>
        </w:tc>
        <w:tc>
          <w:tcPr>
            <w:tcW w:w="87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宋体" w:hAnsi="宋体" w:cs="Arial"/>
                <w:color w:val="000000"/>
                <w:sz w:val="22"/>
              </w:rPr>
            </w:pPr>
            <w:r>
              <w:rPr>
                <w:rFonts w:hint="eastAsia" w:cs="Arial"/>
                <w:color w:val="000000"/>
                <w:sz w:val="22"/>
              </w:rPr>
              <w:t>62.98</w:t>
            </w:r>
          </w:p>
        </w:tc>
        <w:tc>
          <w:tcPr>
            <w:tcW w:w="84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宋体" w:hAnsi="宋体" w:cs="Arial"/>
                <w:color w:val="000000"/>
                <w:sz w:val="22"/>
              </w:rPr>
            </w:pPr>
            <w:r>
              <w:rPr>
                <w:rFonts w:hint="eastAsia" w:cs="Arial"/>
                <w:color w:val="000000"/>
                <w:sz w:val="22"/>
              </w:rPr>
              <w:t>两房一厅</w:t>
            </w:r>
          </w:p>
        </w:tc>
        <w:tc>
          <w:tcPr>
            <w:tcW w:w="1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15</w:t>
            </w:r>
          </w:p>
        </w:tc>
        <w:tc>
          <w:tcPr>
            <w:tcW w:w="132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hAnsi="宋体" w:eastAsia="仿宋_GB2312" w:cs="宋体"/>
                <w:sz w:val="22"/>
              </w:rPr>
            </w:pPr>
            <w:r>
              <w:rPr>
                <w:rFonts w:hint="eastAsia" w:ascii="仿宋_GB2312" w:eastAsia="仿宋_GB2312"/>
                <w:sz w:val="22"/>
              </w:rPr>
              <w:t>1.85</w:t>
            </w:r>
          </w:p>
        </w:tc>
      </w:tr>
      <w:tr>
        <w:tblPrEx>
          <w:tblLayout w:type="fixed"/>
          <w:tblCellMar>
            <w:top w:w="0" w:type="dxa"/>
            <w:left w:w="108" w:type="dxa"/>
            <w:bottom w:w="0" w:type="dxa"/>
            <w:right w:w="108" w:type="dxa"/>
          </w:tblCellMar>
        </w:tblPrEx>
        <w:trPr>
          <w:trHeight w:val="30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2</w:t>
            </w:r>
          </w:p>
        </w:tc>
        <w:tc>
          <w:tcPr>
            <w:tcW w:w="3624"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rPr>
                <w:rFonts w:hint="default" w:ascii="仿宋_GB2312" w:hAnsi="Arial" w:eastAsia="仿宋_GB2312" w:cs="Arial"/>
                <w:sz w:val="24"/>
              </w:rPr>
            </w:pPr>
            <w:r>
              <w:rPr>
                <w:rFonts w:hint="eastAsia" w:ascii="仿宋_GB2312" w:hAnsi="Arial" w:eastAsia="仿宋_GB2312" w:cs="Arial"/>
              </w:rPr>
              <w:t>石楼镇珠江路81号清怡居5栋803</w:t>
            </w:r>
          </w:p>
        </w:tc>
        <w:tc>
          <w:tcPr>
            <w:tcW w:w="87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宋体" w:hAnsi="宋体" w:cs="Arial"/>
                <w:color w:val="000000"/>
                <w:sz w:val="22"/>
              </w:rPr>
            </w:pPr>
            <w:r>
              <w:rPr>
                <w:rFonts w:hint="eastAsia" w:cs="Arial"/>
                <w:color w:val="000000"/>
                <w:sz w:val="22"/>
              </w:rPr>
              <w:t>62.98</w:t>
            </w:r>
          </w:p>
        </w:tc>
        <w:tc>
          <w:tcPr>
            <w:tcW w:w="84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宋体" w:hAnsi="宋体" w:cs="Arial"/>
                <w:color w:val="000000"/>
                <w:sz w:val="22"/>
              </w:rPr>
            </w:pPr>
            <w:r>
              <w:rPr>
                <w:rFonts w:hint="eastAsia" w:cs="Arial"/>
                <w:color w:val="000000"/>
                <w:sz w:val="22"/>
              </w:rPr>
              <w:t>两房一厅</w:t>
            </w:r>
          </w:p>
        </w:tc>
        <w:tc>
          <w:tcPr>
            <w:tcW w:w="141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15</w:t>
            </w:r>
          </w:p>
        </w:tc>
        <w:tc>
          <w:tcPr>
            <w:tcW w:w="132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ascii="仿宋_GB2312" w:eastAsia="仿宋_GB2312"/>
                <w:sz w:val="22"/>
              </w:rPr>
            </w:pPr>
            <w:r>
              <w:rPr>
                <w:rFonts w:hint="eastAsia" w:ascii="仿宋_GB2312" w:eastAsia="仿宋_GB2312"/>
                <w:sz w:val="22"/>
              </w:rPr>
              <w:t>1.85</w:t>
            </w:r>
          </w:p>
        </w:tc>
      </w:tr>
    </w:tbl>
    <w:p/>
    <w:p/>
    <w:p/>
    <w:tbl>
      <w:tblPr>
        <w:tblStyle w:val="12"/>
        <w:tblW w:w="8522" w:type="dxa"/>
        <w:jc w:val="center"/>
        <w:tblInd w:w="0" w:type="dxa"/>
        <w:tblLayout w:type="fixed"/>
        <w:tblCellMar>
          <w:top w:w="0" w:type="dxa"/>
          <w:left w:w="108" w:type="dxa"/>
          <w:bottom w:w="0" w:type="dxa"/>
          <w:right w:w="108" w:type="dxa"/>
        </w:tblCellMar>
      </w:tblPr>
      <w:tblGrid>
        <w:gridCol w:w="533"/>
        <w:gridCol w:w="3492"/>
        <w:gridCol w:w="1055"/>
        <w:gridCol w:w="695"/>
        <w:gridCol w:w="1416"/>
        <w:gridCol w:w="1331"/>
      </w:tblGrid>
      <w:tr>
        <w:tblPrEx>
          <w:tblLayout w:type="fixed"/>
          <w:tblCellMar>
            <w:top w:w="0" w:type="dxa"/>
            <w:left w:w="108" w:type="dxa"/>
            <w:bottom w:w="0" w:type="dxa"/>
            <w:right w:w="108" w:type="dxa"/>
          </w:tblCellMar>
        </w:tblPrEx>
        <w:trPr>
          <w:trHeight w:val="993" w:hRule="atLeast"/>
          <w:jc w:val="center"/>
        </w:trPr>
        <w:tc>
          <w:tcPr>
            <w:tcW w:w="8522" w:type="dxa"/>
            <w:gridSpan w:val="6"/>
            <w:tcBorders>
              <w:bottom w:val="single" w:color="000000" w:sz="4" w:space="0"/>
            </w:tcBorders>
            <w:vAlign w:val="center"/>
          </w:tcPr>
          <w:p>
            <w:pPr>
              <w:keepNext w:val="0"/>
              <w:keepLines w:val="0"/>
              <w:suppressLineNumbers w:val="0"/>
              <w:spacing w:before="0" w:beforeAutospacing="0" w:after="0" w:afterAutospacing="0"/>
              <w:ind w:left="0" w:right="0"/>
              <w:jc w:val="center"/>
              <w:rPr>
                <w:rFonts w:hint="default"/>
                <w:b/>
                <w:bCs/>
                <w:sz w:val="32"/>
              </w:rPr>
            </w:pPr>
            <w:r>
              <w:rPr>
                <w:rFonts w:hint="eastAsia"/>
                <w:b/>
                <w:bCs/>
                <w:sz w:val="32"/>
              </w:rPr>
              <w:t>四、大石街碧臻花园公租房项目</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序号</w:t>
            </w:r>
          </w:p>
        </w:tc>
        <w:tc>
          <w:tcPr>
            <w:tcW w:w="3492"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地址</w:t>
            </w:r>
          </w:p>
        </w:tc>
        <w:tc>
          <w:tcPr>
            <w:tcW w:w="105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建筑面积（㎡）</w:t>
            </w:r>
          </w:p>
        </w:tc>
        <w:tc>
          <w:tcPr>
            <w:tcW w:w="695"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户型</w:t>
            </w:r>
          </w:p>
        </w:tc>
        <w:tc>
          <w:tcPr>
            <w:tcW w:w="1416"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租金标准（元/㎡·月）</w:t>
            </w:r>
          </w:p>
        </w:tc>
        <w:tc>
          <w:tcPr>
            <w:tcW w:w="1331"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物管费</w:t>
            </w:r>
            <w:r>
              <w:rPr>
                <w:rFonts w:hint="eastAsia"/>
                <w:sz w:val="22"/>
              </w:rPr>
              <w:t>（元/㎡·月）</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广州市番禺区大石街富石路317号碧臻花园20栋1118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广州市番禺区大石街富石路317号碧臻花园20栋1119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广州市番禺区大石街富石路317号碧臻花园20栋1121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广州市番禺区大石街富石路317号碧臻花园20栋1123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广州市番禺区大石街富石路317号碧臻花园20栋1125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39.91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广州市番禺区大石街富石路317号碧臻花园20栋1126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44.11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广州市番禺区大石街富石路317号碧臻花园20栋1127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44.05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广州市番禺区大石街富石路317号碧臻花园20栋1128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44.12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9</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广州市番禺区大石街富石路317号碧臻花园20栋1129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10</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广州市番禺区大石街富石路317号碧臻花园20栋1204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39.57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广州市番禺区大石街富石路317号碧臻花园20栋1205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39.67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广州市番禺区大石街富石路317号碧臻花园20栋1206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39.68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广州市番禺区大石街富石路317号碧臻花园20栋1209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39.75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14</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广州市番禺区大石街富石路317号碧臻花园20栋1210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15</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广州市番禺区大石街富石路317号碧臻花园20栋1211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16</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广州市番禺区大石街富石路317号碧臻花园20栋1212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39.52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17</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广州市番禺区大石街富石路317号碧臻花园20栋1218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序号</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地址</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建筑面积（㎡）</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户型</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租金标准（元/㎡·月）</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物管费</w:t>
            </w:r>
            <w:r>
              <w:rPr>
                <w:rFonts w:hint="eastAsia"/>
                <w:sz w:val="22"/>
              </w:rPr>
              <w:t>（元/㎡·月）</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18</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广州市番禺区大石街富石路317号碧臻花园20栋1219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19</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广州市番禺区大石街富石路317号碧臻花园20栋1220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20</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广州市番禺区大石街富石路317号碧臻花园20栋1221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42.03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广州市番禺区大石街富石路317号碧臻花园20栋1223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广州市番禺区大石街富石路317号碧臻花园20栋1224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24</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广州市番禺区大石街富石路317号碧臻花园20栋1225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39.91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25</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广州市番禺区大石街富石路317号碧臻花园20栋1226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44.11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26</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广州市番禺区大石街富石路317号碧臻花园20栋1228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44.12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27</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广州市番禺区大石街富石路317号碧臻花园20栋1229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28</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广州市番禺区大石街富石路317号碧臻花园20栋1304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39.57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29</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广州市番禺区大石街富石路317号碧臻花园20栋1305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39.67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30</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广州市番禺区大石街富石路317号碧臻花园20栋1306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39.68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广州市番禺区大石街富石路317号碧臻花园20栋1309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39.75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广州市番禺区大石街富石路317号碧臻花园20栋1311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广州市番禺区大石街富石路317号碧臻花园20栋1312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39.52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34</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广州市番禺区大石街富石路317号碧臻花园20栋1318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35</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广州市番禺区大石街富石路317号碧臻花园20栋1321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36</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42.03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序号</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地址</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建筑面积（㎡）</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户型</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租金标准（元/㎡·月）</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物管费</w:t>
            </w:r>
            <w:r>
              <w:rPr>
                <w:rFonts w:hint="eastAsia"/>
                <w:sz w:val="22"/>
              </w:rPr>
              <w:t>（元/㎡·月）</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37</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广州市番禺区大石街富石路317号碧臻花园20栋1323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38</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广州市番禺区大石街富石路317号碧臻花园20栋1324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39</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广州市番禺区大石街富石路317号碧臻花园20栋1325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39.91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40</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广州市番禺区大石街富石路317号碧臻花园20栋1327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44.05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广州市番禺区大石街富石路317号碧臻花园20栋1328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44.12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广州市番禺区大石街富石路317号碧臻花园20栋1329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广州市番禺区大石街富石路317号碧臻花园20栋1404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39.57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44</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广州市番禺区大石街富石路317号碧臻花园20栋1405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39.67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45</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广州市番禺区大石街富石路317号碧臻花园20栋1406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39.68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46</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广州市番禺区大石街富石路317号碧臻花园20栋1409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39.75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47</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广州市番禺区大石街富石路317号碧臻花园20栋1410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48</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广州市番禺区大石街富石路317号碧臻花园20栋1411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49</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广州市番禺区大石街富石路317号碧臻花园20栋1412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39.52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50</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广州市番禺区大石街富石路317号碧臻花园20栋1418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广州市番禺区大石街富石路317号碧臻花园20栋1419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广州市番禺区大石街富石路317号碧臻花园20栋1420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广州市番禺区大石街富石路317号碧臻花园20栋1421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54</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42.03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55</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广州市番禺区大石街富石路317号碧臻花园20栋1423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序号</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地址</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建筑面积（㎡）</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户型</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租金标准（元/㎡·月）</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物管费</w:t>
            </w:r>
            <w:r>
              <w:rPr>
                <w:rFonts w:hint="eastAsia"/>
                <w:sz w:val="22"/>
              </w:rPr>
              <w:t>（元/㎡·月）</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56</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广州市番禺区大石街富石路317号碧臻花园20栋1424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57</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广州市番禺区大石街富石路317号碧臻花园20栋1426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44.11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58</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广州市番禺区大石街富石路317号碧臻花园20栋1429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59</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广州市番禺区大石街富石路317号碧臻花园20栋1504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39.57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60</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广州市番禺区大石街富石路317号碧臻花园20栋1505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39.67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广州市番禺区大石街富石路317号碧臻花园20栋1509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39.75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广州市番禺区大石街富石路317号碧臻花园20栋1510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广州市番禺区大石街富石路317号碧臻花园20栋1511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64</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广州市番禺区大石街富石路317号碧臻花园20栋1518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65</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广州市番禺区大石街富石路317号碧臻花园20栋1519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66</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广州市番禺区大石街富石路317号碧臻花园20栋1521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67</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42.03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68</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广州市番禺区大石街富石路317号碧臻花园20栋1523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69</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广州市番禺区大石街富石路317号碧臻花园20栋1524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70</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广州市番禺区大石街富石路317号碧臻花园20栋1525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39.91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广州市番禺区大石街富石路317号碧臻花园20栋1526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44.11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广州市番禺区大石街富石路317号碧臻花园20栋1527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44.05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广州市番禺区大石街富石路317号碧臻花园20栋1528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44.12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74</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广州市番禺区大石街富石路317号碧臻花园20栋1529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416"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序号</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地址</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建筑面积（㎡）</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户型</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租金标准（元/㎡·月）</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rPr>
            </w:pPr>
            <w:r>
              <w:rPr>
                <w:rFonts w:hint="eastAsia"/>
              </w:rPr>
              <w:t>物管费</w:t>
            </w:r>
            <w:r>
              <w:rPr>
                <w:rFonts w:hint="eastAsia"/>
                <w:sz w:val="22"/>
              </w:rPr>
              <w:t>（元/㎡·月）</w:t>
            </w:r>
          </w:p>
        </w:tc>
      </w:tr>
      <w:tr>
        <w:tblPrEx>
          <w:tblLayout w:type="fixed"/>
          <w:tblCellMar>
            <w:top w:w="0" w:type="dxa"/>
            <w:left w:w="108" w:type="dxa"/>
            <w:bottom w:w="0" w:type="dxa"/>
            <w:right w:w="108" w:type="dxa"/>
          </w:tblCellMar>
        </w:tblPrEx>
        <w:trPr>
          <w:trHeight w:val="49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75</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广州市番禺区大石街富石路317号碧臻花园20栋1604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39.57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561"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76</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广州市番禺区大石街富石路317号碧臻花园20栋1605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39.67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77</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广州市番禺区大石街富石路317号碧臻花园20栋1606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39.68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78</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广州市番禺区大石街富石路317号碧臻花园20栋1609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39.75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79</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广州市番禺区大石街富石路317号碧臻花园20栋1611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80</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广州市番禺区大石街富石路317号碧臻花园20栋1612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39.52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广州市番禺区大石街富石路317号碧臻花园20栋1618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广州市番禺区大石街富石路317号碧臻花园20栋1619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广州市番禺区大石街富石路317号碧臻花园20栋1620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84</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广州市番禺区大石街富石路317号碧臻花园20栋1621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85</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42.03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86</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广州市番禺区大石街富石路317号碧臻花园20栋1623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87</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广州市番禺区大石街富石路317号碧臻花园20栋1624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39.74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88</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广州市番禺区大石街富石路317号碧臻花园20栋1625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39.91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89</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广州市番禺区大石街富石路317号碧臻花园20栋1002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54.51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一房一厅</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90</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广州市番禺区大石街富石路317号碧臻花园20栋1302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54.51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一房一厅</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91</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广州市番禺区大石街富石路317号碧臻花园20栋202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54.51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一房一厅</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92</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广州市番禺区大石街富石路317号碧臻花园20栋2102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54.51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一房一厅</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r>
        <w:tblPrEx>
          <w:tblLayout w:type="fixed"/>
          <w:tblCellMar>
            <w:top w:w="0" w:type="dxa"/>
            <w:left w:w="108" w:type="dxa"/>
            <w:bottom w:w="0" w:type="dxa"/>
            <w:right w:w="108" w:type="dxa"/>
          </w:tblCellMar>
        </w:tblPrEx>
        <w:trPr>
          <w:trHeight w:val="675" w:hRule="atLeast"/>
          <w:jc w:val="center"/>
        </w:trPr>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93</w:t>
            </w:r>
          </w:p>
        </w:tc>
        <w:tc>
          <w:tcPr>
            <w:tcW w:w="3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广州市番禺区大石街富石路317号碧臻花园20栋502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 xml:space="preserve">54.51 </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一房一厅</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_GB2312" w:eastAsia="仿宋_GB2312"/>
                <w:color w:val="000000"/>
                <w:szCs w:val="21"/>
              </w:rPr>
            </w:pPr>
            <w:r>
              <w:rPr>
                <w:rFonts w:hint="eastAsia" w:ascii="仿宋_GB2312" w:eastAsia="仿宋_GB2312"/>
                <w:color w:val="000000"/>
                <w:szCs w:val="21"/>
              </w:rPr>
              <w:t>21</w:t>
            </w:r>
          </w:p>
        </w:tc>
        <w:tc>
          <w:tcPr>
            <w:tcW w:w="13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eastAsia="仿宋_GB2312"/>
                <w:color w:val="000000"/>
                <w:szCs w:val="21"/>
                <w:lang w:eastAsia="zh-CN"/>
              </w:rPr>
            </w:pPr>
            <w:r>
              <w:rPr>
                <w:rFonts w:hint="eastAsia" w:ascii="仿宋_GB2312" w:eastAsia="仿宋_GB2312"/>
                <w:color w:val="000000"/>
                <w:szCs w:val="21"/>
                <w:lang w:eastAsia="zh-CN"/>
              </w:rPr>
              <w:t>2.8</w:t>
            </w:r>
          </w:p>
        </w:tc>
      </w:tr>
    </w:tbl>
    <w:p>
      <w:pPr>
        <w:ind w:left="556" w:leftChars="-2" w:hanging="560" w:hangingChars="200"/>
        <w:rPr>
          <w:rFonts w:eastAsia="仿宋_GB2312"/>
          <w:sz w:val="28"/>
          <w:szCs w:val="32"/>
        </w:rPr>
      </w:pPr>
      <w:r>
        <w:rPr>
          <w:rFonts w:eastAsia="仿宋_GB2312"/>
          <w:color w:val="000000"/>
          <w:sz w:val="28"/>
          <w:szCs w:val="32"/>
        </w:rPr>
        <w:t>注：</w:t>
      </w:r>
      <w:r>
        <w:rPr>
          <w:rFonts w:hint="eastAsia" w:eastAsia="仿宋_GB2312"/>
          <w:color w:val="000000"/>
          <w:sz w:val="28"/>
          <w:szCs w:val="32"/>
        </w:rPr>
        <w:t>1.</w:t>
      </w:r>
      <w:r>
        <w:rPr>
          <w:rFonts w:hint="eastAsia" w:ascii="仿宋_GB2312" w:hAnsi="仿宋_GB2312" w:eastAsia="仿宋_GB2312" w:cs="仿宋_GB2312"/>
          <w:sz w:val="28"/>
          <w:szCs w:val="32"/>
        </w:rPr>
        <w:t xml:space="preserve"> </w:t>
      </w:r>
      <w:r>
        <w:rPr>
          <w:rFonts w:hint="eastAsia" w:eastAsia="仿宋_GB2312"/>
          <w:sz w:val="28"/>
          <w:szCs w:val="32"/>
        </w:rPr>
        <w:t>碧臻花园的一房户型为开放式厨房，不能使用燃气。</w:t>
      </w:r>
    </w:p>
    <w:p>
      <w:pPr>
        <w:ind w:left="556" w:leftChars="-2" w:hanging="560" w:hangingChars="200"/>
        <w:rPr>
          <w:rFonts w:eastAsia="仿宋_GB2312"/>
          <w:sz w:val="28"/>
          <w:szCs w:val="32"/>
        </w:rPr>
      </w:pPr>
      <w:r>
        <w:rPr>
          <w:rFonts w:hint="eastAsia" w:eastAsia="仿宋_GB2312"/>
          <w:sz w:val="28"/>
          <w:szCs w:val="32"/>
        </w:rPr>
        <w:t xml:space="preserve">    2.表格所示的租金为对应的公共租赁住房项目租金标准，具体需缴纳的租金将根据预配租家庭通过资格复核的家庭年人均可支配收入情况分档计算，实际租金缴交比例为公共租赁住房项目租金标准的10%--70%。双特困家庭、优抚对象或政府已有文件明确可享受租金优惠政策的对象按优惠租金标准（1元/</w:t>
      </w:r>
      <w:r>
        <w:rPr>
          <w:rFonts w:hint="eastAsia" w:ascii="宋体" w:hAnsi="宋体" w:eastAsia="宋体" w:cs="宋体"/>
          <w:sz w:val="28"/>
          <w:szCs w:val="32"/>
        </w:rPr>
        <w:t>㎡</w:t>
      </w:r>
      <w:r>
        <w:rPr>
          <w:rFonts w:hint="eastAsia" w:eastAsia="仿宋_GB2312"/>
          <w:sz w:val="28"/>
          <w:szCs w:val="32"/>
        </w:rPr>
        <w:t>）计租。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2A3"/>
    <w:rsid w:val="000C6B66"/>
    <w:rsid w:val="001802A3"/>
    <w:rsid w:val="0022530E"/>
    <w:rsid w:val="00266D2B"/>
    <w:rsid w:val="00286C2D"/>
    <w:rsid w:val="002B2FC7"/>
    <w:rsid w:val="0032595C"/>
    <w:rsid w:val="00511B19"/>
    <w:rsid w:val="006B3B27"/>
    <w:rsid w:val="006C2E38"/>
    <w:rsid w:val="006C756A"/>
    <w:rsid w:val="007E1216"/>
    <w:rsid w:val="008734FC"/>
    <w:rsid w:val="00917C12"/>
    <w:rsid w:val="00A63B9D"/>
    <w:rsid w:val="00AF0DBD"/>
    <w:rsid w:val="00BD792E"/>
    <w:rsid w:val="00C14681"/>
    <w:rsid w:val="00C802E0"/>
    <w:rsid w:val="00CC4CBD"/>
    <w:rsid w:val="00CF0941"/>
    <w:rsid w:val="00D00BBE"/>
    <w:rsid w:val="00E64872"/>
    <w:rsid w:val="00FB3F9C"/>
    <w:rsid w:val="2C596ADF"/>
    <w:rsid w:val="31832BE2"/>
    <w:rsid w:val="43434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Body Text Indent"/>
    <w:basedOn w:val="1"/>
    <w:link w:val="20"/>
    <w:qFormat/>
    <w:uiPriority w:val="0"/>
    <w:pPr>
      <w:ind w:left="2240" w:hanging="2240" w:hangingChars="700"/>
    </w:pPr>
    <w:rPr>
      <w:rFonts w:ascii="Times New Roman" w:hAnsi="Times New Roman" w:eastAsia="仿宋_GB2312" w:cs="Times New Roman"/>
      <w:sz w:val="32"/>
      <w:szCs w:val="24"/>
    </w:rPr>
  </w:style>
  <w:style w:type="paragraph" w:styleId="3">
    <w:name w:val="Date"/>
    <w:basedOn w:val="1"/>
    <w:next w:val="1"/>
    <w:link w:val="19"/>
    <w:qFormat/>
    <w:uiPriority w:val="0"/>
    <w:pPr>
      <w:ind w:left="100" w:leftChars="2500"/>
    </w:pPr>
    <w:rPr>
      <w:rFonts w:ascii="Times New Roman" w:hAnsi="Times New Roman" w:eastAsia="宋体" w:cs="Times New Roman"/>
      <w:szCs w:val="24"/>
    </w:rPr>
  </w:style>
  <w:style w:type="paragraph" w:styleId="4">
    <w:name w:val="Balloon Text"/>
    <w:basedOn w:val="1"/>
    <w:link w:val="15"/>
    <w:unhideWhenUsed/>
    <w:qFormat/>
    <w:uiPriority w:val="0"/>
    <w:rPr>
      <w:sz w:val="18"/>
      <w:szCs w:val="18"/>
    </w:rPr>
  </w:style>
  <w:style w:type="paragraph" w:styleId="5">
    <w:name w:val="footer"/>
    <w:basedOn w:val="1"/>
    <w:link w:val="18"/>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7">
    <w:name w:val="footnote text"/>
    <w:basedOn w:val="1"/>
    <w:link w:val="14"/>
    <w:unhideWhenUsed/>
    <w:qFormat/>
    <w:uiPriority w:val="99"/>
    <w:pPr>
      <w:snapToGrid w:val="0"/>
      <w:jc w:val="left"/>
    </w:pPr>
    <w:rPr>
      <w:rFonts w:ascii="Calibri" w:hAnsi="Calibri" w:eastAsia="宋体" w:cs="Times New Roman"/>
      <w:kern w:val="0"/>
      <w:sz w:val="18"/>
      <w:szCs w:val="18"/>
      <w:lang w:val="zh-CN" w:eastAsia="zh-CN"/>
    </w:rPr>
  </w:style>
  <w:style w:type="paragraph" w:styleId="8">
    <w:name w:val="Normal (Web)"/>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character" w:styleId="10">
    <w:name w:val="Hyperlink"/>
    <w:qFormat/>
    <w:uiPriority w:val="0"/>
    <w:rPr>
      <w:color w:val="0000FF"/>
      <w:u w:val="single"/>
    </w:rPr>
  </w:style>
  <w:style w:type="character" w:styleId="11">
    <w:name w:val="footnote reference"/>
    <w:unhideWhenUsed/>
    <w:qFormat/>
    <w:uiPriority w:val="99"/>
    <w:rPr>
      <w:vertAlign w:val="superscript"/>
    </w:rPr>
  </w:style>
  <w:style w:type="table" w:styleId="13">
    <w:name w:val="Table Grid"/>
    <w:basedOn w:val="12"/>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4">
    <w:name w:val="脚注文本 Char"/>
    <w:basedOn w:val="9"/>
    <w:link w:val="7"/>
    <w:qFormat/>
    <w:uiPriority w:val="99"/>
    <w:rPr>
      <w:rFonts w:ascii="Calibri" w:hAnsi="Calibri" w:eastAsia="宋体" w:cs="Times New Roman"/>
      <w:kern w:val="0"/>
      <w:sz w:val="18"/>
      <w:szCs w:val="18"/>
      <w:lang w:val="zh-CN" w:eastAsia="zh-CN"/>
    </w:rPr>
  </w:style>
  <w:style w:type="character" w:customStyle="1" w:styleId="15">
    <w:name w:val="批注框文本 Char"/>
    <w:basedOn w:val="9"/>
    <w:link w:val="4"/>
    <w:qFormat/>
    <w:uiPriority w:val="0"/>
    <w:rPr>
      <w:sz w:val="18"/>
      <w:szCs w:val="18"/>
    </w:rPr>
  </w:style>
  <w:style w:type="paragraph" w:customStyle="1" w:styleId="16">
    <w:name w:val="Char"/>
    <w:basedOn w:val="1"/>
    <w:qFormat/>
    <w:uiPriority w:val="0"/>
    <w:pPr>
      <w:widowControl/>
      <w:jc w:val="left"/>
    </w:pPr>
    <w:rPr>
      <w:rFonts w:ascii="宋体" w:hAnsi="宋体" w:eastAsia="宋体" w:cs="Courier New"/>
      <w:kern w:val="0"/>
      <w:sz w:val="32"/>
      <w:szCs w:val="32"/>
    </w:rPr>
  </w:style>
  <w:style w:type="character" w:customStyle="1" w:styleId="17">
    <w:name w:val="页眉 Char"/>
    <w:basedOn w:val="9"/>
    <w:link w:val="6"/>
    <w:qFormat/>
    <w:uiPriority w:val="0"/>
    <w:rPr>
      <w:rFonts w:ascii="Times New Roman" w:hAnsi="Times New Roman" w:eastAsia="宋体" w:cs="Times New Roman"/>
      <w:sz w:val="18"/>
      <w:szCs w:val="18"/>
    </w:rPr>
  </w:style>
  <w:style w:type="character" w:customStyle="1" w:styleId="18">
    <w:name w:val="页脚 Char"/>
    <w:basedOn w:val="9"/>
    <w:link w:val="5"/>
    <w:qFormat/>
    <w:uiPriority w:val="99"/>
    <w:rPr>
      <w:rFonts w:ascii="Times New Roman" w:hAnsi="Times New Roman" w:eastAsia="宋体" w:cs="Times New Roman"/>
      <w:sz w:val="18"/>
      <w:szCs w:val="18"/>
    </w:rPr>
  </w:style>
  <w:style w:type="character" w:customStyle="1" w:styleId="19">
    <w:name w:val="日期 Char"/>
    <w:basedOn w:val="9"/>
    <w:link w:val="3"/>
    <w:qFormat/>
    <w:uiPriority w:val="0"/>
    <w:rPr>
      <w:rFonts w:ascii="Times New Roman" w:hAnsi="Times New Roman" w:eastAsia="宋体" w:cs="Times New Roman"/>
      <w:szCs w:val="24"/>
    </w:rPr>
  </w:style>
  <w:style w:type="character" w:customStyle="1" w:styleId="20">
    <w:name w:val="正文文本缩进 Char"/>
    <w:basedOn w:val="9"/>
    <w:link w:val="2"/>
    <w:qFormat/>
    <w:uiPriority w:val="0"/>
    <w:rPr>
      <w:rFonts w:ascii="Times New Roman" w:hAnsi="Times New Roman" w:eastAsia="仿宋_GB2312" w:cs="Times New Roman"/>
      <w:sz w:val="32"/>
      <w:szCs w:val="24"/>
    </w:rPr>
  </w:style>
  <w:style w:type="paragraph" w:customStyle="1" w:styleId="21">
    <w:name w:val="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9</Pages>
  <Words>975</Words>
  <Characters>5559</Characters>
  <Lines>46</Lines>
  <Paragraphs>13</Paragraphs>
  <TotalTime>16</TotalTime>
  <ScaleCrop>false</ScaleCrop>
  <LinksUpToDate>false</LinksUpToDate>
  <CharactersWithSpaces>6521</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2021-11-17T08:39:00Z</dcterms:created>
  <dc:creator>番禺区1620437202458</dc:creator>
  <cp:lastModifiedBy>Administrator</cp:lastModifiedBy>
  <cp:lastPrinted>2021-07-22T09:10:00Z</cp:lastPrinted>
  <dcterms:modified xsi:type="dcterms:W3CDTF">2022-01-07T02:25:26Z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