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广东省财政厅</w:t>
      </w:r>
      <w:r>
        <w:rPr>
          <w:rFonts w:hint="eastAsia" w:ascii="黑体" w:hAnsi="黑体" w:eastAsia="黑体" w:cs="黑体"/>
          <w:b w:val="0"/>
          <w:bCs w:val="0"/>
          <w:sz w:val="44"/>
          <w:szCs w:val="44"/>
        </w:rPr>
        <w:t>关于提前下达2023年计划生育家庭奖励扶助资金的通知</w:t>
      </w:r>
    </w:p>
    <w:p>
      <w:pPr>
        <w:jc w:val="center"/>
        <w:rPr>
          <w:rFonts w:hint="eastAsia" w:ascii="黑体" w:hAnsi="黑体" w:eastAsia="黑体" w:cs="黑体"/>
          <w:b w:val="0"/>
          <w:bCs w:val="0"/>
          <w:sz w:val="44"/>
          <w:szCs w:val="44"/>
        </w:rPr>
      </w:pPr>
    </w:p>
    <w:p>
      <w:pP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各地级以上市财政局，横琴粤澳深度合作区财政局，有关（县、</w:t>
      </w:r>
    </w:p>
    <w:p>
      <w:pP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市、区）财政局：</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为加快预算执行进度，提高预算编制的完整性，按照预算管理有关规定和省卫生健康委《关于报送提前下达 2023 年第一批其他事业发展性支出预算资金分配方案的函》（粤卫财务函〔2022〕109 号），现提前下达 2023 年计划生育家庭奖励扶助资金 30,437.13 万元（详见附件 1-2）。有关事项通知如下：</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一、各地财政部门应将上级财政提前下达的转移支付预计数全额编入本级预算，做好 2023 年预计数分解下达相关工作。此项资金待 2023 年预算年度开始后，按程序拨付使用。</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二、请各地根据当地实际情况统筹安排好省补助资金，严格按照省级资金管理有关规定科学管理和使用资金，切实提高财政资金使用效益，防止出现挤占、挪用、虚列、套取补助资金等行为。</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三、请各地严格落实全面实施预算绩效管理的要求，在预算执行过程中，对照本次下达的绩效目标做好绩效运行监控（附件3），确保年度绩效目标如期实现，财政资金发挥预期效益。</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四、此次下达的计划生育家庭奖励扶助制度补助资金为直达资金，资金标识为“09 其他资金”，贯穿资金分配、拨付、使用等环节保持不变。市县财政在分配该直达资金时，应单独下发文件，在数字财政系统中及时下达包含直达资金标识的指标，并与直达资金监控系统准确衔接，确保数据真实、账目清晰、流向明确、资金直达基层。</w:t>
      </w:r>
    </w:p>
    <w:p>
      <w:pPr>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五、此次下达的计划生育家庭奖励扶助资金为“三保”资金，请按照《广东省财政厅印发关于全面实施“三保”资金专户管理的工作方案的通知》（粤财预〔2022〕52 号）等有关规定，将该项资金纳入“三保”资金专户管理，严格专户资金使用管理，禁止挪用和挤占专户资金。该项资金标识为“A0403-计划生育家庭扶助”，此标识贯穿项目入库、预算编制、预算执行和资金拨付全过程，且保持不变。市县财政部门应按规定接收上级下达的转移支付项目，在一体化系统中及时下达包含“三保”标识的指标，不得随意增加、删减和修改，确保数据真实、账</w:t>
      </w:r>
      <w:bookmarkStart w:id="0" w:name="_GoBack"/>
      <w:bookmarkEnd w:id="0"/>
      <w:r>
        <w:rPr>
          <w:rFonts w:hint="eastAsia" w:ascii="仿宋" w:hAnsi="仿宋" w:eastAsia="仿宋" w:cs="仿宋"/>
          <w:kern w:val="0"/>
          <w:sz w:val="32"/>
          <w:szCs w:val="32"/>
          <w:lang w:val="en-US" w:eastAsia="zh-CN" w:bidi="ar"/>
        </w:rPr>
        <w:t>目清晰、流向明确。</w:t>
      </w:r>
    </w:p>
    <w:p>
      <w:pPr>
        <w:rPr>
          <w:rFonts w:hint="eastAsia" w:ascii="仿宋" w:hAnsi="仿宋" w:eastAsia="仿宋" w:cs="仿宋"/>
          <w:kern w:val="0"/>
          <w:sz w:val="32"/>
          <w:szCs w:val="32"/>
          <w:lang w:val="en-US" w:eastAsia="zh-CN" w:bidi="ar"/>
        </w:rPr>
      </w:pPr>
    </w:p>
    <w:p>
      <w:pPr>
        <w:ind w:firstLine="5760" w:firstLineChars="18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广东省财政厅</w:t>
      </w:r>
    </w:p>
    <w:p>
      <w:pPr>
        <w:ind w:firstLine="5120" w:firstLineChars="16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2022 年 11 月 29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504F72"/>
    <w:rsid w:val="50504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区财政局（区国资局）</Company>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2023-01-20T02:28:00Z</dcterms:created>
  <dc:creator>黄子希</dc:creator>
  <cp:lastModifiedBy>黄子希</cp:lastModifiedBy>
  <dcterms:modified xsi:type="dcterms:W3CDTF">2023-01-20T02:32:38Z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