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v:textbox>
              </v:shape>
            </w:pict>
          </mc:Fallback>
        </mc:AlternateContent>
      </w:r>
    </w:p>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046</w:t>
      </w:r>
      <w:r>
        <w:rPr>
          <w:rFonts w:ascii="Times New Roman" w:hAnsi="Times New Roman" w:eastAsia="仿宋_GB2312" w:cs="Times New Roman"/>
          <w:color w:val="000000"/>
          <w:sz w:val="28"/>
          <w:szCs w:val="28"/>
        </w:rPr>
        <w:t>号</w:t>
      </w:r>
    </w:p>
    <w:bookmarkEnd w:id="0"/>
    <w:bookmarkEnd w:id="1"/>
    <w:p>
      <w:pPr>
        <w:spacing w:line="400" w:lineRule="exact"/>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关于对广州市番禺区南村镇西片社工服务站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年8月15日至2025年2月14日财务管理情况评估报告</w:t>
      </w:r>
    </w:p>
    <w:p>
      <w:pPr>
        <w:spacing w:line="400" w:lineRule="exact"/>
        <w:jc w:val="center"/>
        <w:rPr>
          <w:rFonts w:ascii="Times New Roman" w:hAnsi="Times New Roman" w:eastAsia="仿宋_GB2312" w:cs="Times New Roman"/>
          <w:sz w:val="28"/>
          <w:szCs w:val="28"/>
        </w:rPr>
      </w:pPr>
    </w:p>
    <w:p>
      <w:pPr>
        <w:spacing w:line="64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我们接受委托，对广州市番禺区南村镇西片社工服务站（以下简称南村镇西片社工站）202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年8月15日至2025年</w:t>
      </w:r>
      <w:r>
        <w:rPr>
          <w:rFonts w:hint="eastAsia" w:ascii="Times New Roman" w:hAnsi="Times New Roman" w:eastAsia="仿宋_GB2312" w:cs="Times New Roman"/>
          <w:sz w:val="28"/>
          <w:szCs w:val="28"/>
        </w:rPr>
        <w:t>2月1</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日</w:t>
      </w:r>
      <w:r>
        <w:rPr>
          <w:rFonts w:ascii="Times New Roman" w:hAnsi="Times New Roman" w:eastAsia="仿宋_GB2312" w:cs="Times New Roman"/>
          <w:sz w:val="28"/>
          <w:szCs w:val="28"/>
        </w:rPr>
        <w:t>财务管理情况进行财务评估。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是南村西片社工站及其承接机构的责任，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我们的责任是依据《中国注册会计师执业准则》、《中华人民共和国会计法》、《会计基础工作规范》、《民间非营利组织会计制度》、《广州市人民政府办公厅关于印发广州市社工服务站管理办法的通知》（</w:t>
      </w:r>
      <w:r>
        <w:rPr>
          <w:rFonts w:ascii="Times New Roman" w:hAnsi="Times New Roman" w:eastAsia="仿宋" w:cs="Times New Roman"/>
          <w:color w:val="000000" w:themeColor="text1"/>
          <w:sz w:val="28"/>
          <w:szCs w:val="28"/>
          <w14:textFill>
            <w14:solidFill>
              <w14:schemeClr w14:val="tx1"/>
            </w14:solidFill>
          </w14:textFill>
        </w:rPr>
        <w:t>穗府办〔2023〕7号）、《</w:t>
      </w:r>
      <w:r>
        <w:rPr>
          <w:rFonts w:hint="eastAsia" w:ascii="Times New Roman" w:hAnsi="Times New Roman" w:eastAsia="仿宋" w:cs="Times New Roman"/>
          <w:color w:val="000000" w:themeColor="text1"/>
          <w:sz w:val="28"/>
          <w:szCs w:val="28"/>
          <w14:textFill>
            <w14:solidFill>
              <w14:schemeClr w14:val="tx1"/>
            </w14:solidFill>
          </w14:textFill>
        </w:rPr>
        <w:t>广州市民政局关于印发〈广州市社工服务站管理办法〉有关配套文件的通知</w:t>
      </w:r>
      <w:r>
        <w:rPr>
          <w:rFonts w:ascii="Times New Roman" w:hAnsi="Times New Roman" w:eastAsia="仿宋" w:cs="Times New Roman"/>
          <w:color w:val="000000" w:themeColor="text1"/>
          <w:sz w:val="28"/>
          <w:szCs w:val="28"/>
          <w14:textFill>
            <w14:solidFill>
              <w14:schemeClr w14:val="tx1"/>
            </w14:solidFill>
          </w14:textFill>
        </w:rPr>
        <w:t>》（穗民〔2023〕97号）及</w:t>
      </w:r>
      <w:r>
        <w:rPr>
          <w:rFonts w:ascii="Times New Roman" w:hAnsi="Times New Roman" w:eastAsia="仿宋" w:cs="Times New Roman"/>
          <w:sz w:val="28"/>
          <w:szCs w:val="28"/>
        </w:rPr>
        <w:t>广州市番禺区南村镇</w:t>
      </w:r>
      <w:r>
        <w:rPr>
          <w:rFonts w:hint="eastAsia" w:ascii="Times New Roman" w:hAnsi="Times New Roman" w:eastAsia="仿宋" w:cs="Times New Roman"/>
          <w:sz w:val="28"/>
          <w:szCs w:val="28"/>
        </w:rPr>
        <w:t>人民政府</w:t>
      </w:r>
      <w:r>
        <w:rPr>
          <w:rFonts w:ascii="Times New Roman" w:hAnsi="Times New Roman" w:eastAsia="仿宋" w:cs="Times New Roman"/>
          <w:sz w:val="28"/>
          <w:szCs w:val="28"/>
        </w:rPr>
        <w:t>与社工服务站承接机构签订的购买服务协议中相关约定，对南村镇西片社工站的财务管理情况进行审核，并出具财务评估报告。</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南村镇西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0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一、南村镇西片社工站基本情况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w:t>
      </w:r>
      <w:bookmarkStart w:id="2" w:name="_Hlk161259704"/>
      <w:r>
        <w:rPr>
          <w:rFonts w:hint="eastAsia" w:ascii="Times New Roman" w:hAnsi="Times New Roman" w:eastAsia="仿宋_GB2312" w:cs="Times New Roman"/>
          <w:sz w:val="28"/>
          <w:szCs w:val="28"/>
        </w:rPr>
        <w:t>广州市南沙区百民社会工作服务中心</w:t>
      </w:r>
      <w:bookmarkEnd w:id="2"/>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w:t>
      </w:r>
      <w:r>
        <w:rPr>
          <w:rFonts w:hint="eastAsia" w:ascii="Times New Roman" w:hAnsi="Times New Roman" w:eastAsia="仿宋_GB2312" w:cs="Times New Roman"/>
          <w:sz w:val="28"/>
          <w:szCs w:val="28"/>
        </w:rPr>
        <w:t>郭启华</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w:t>
      </w:r>
      <w:r>
        <w:rPr>
          <w:rFonts w:hint="eastAsia" w:ascii="Times New Roman" w:hAnsi="Times New Roman" w:eastAsia="仿宋_GB2312" w:cs="Times New Roman"/>
          <w:sz w:val="28"/>
          <w:szCs w:val="28"/>
        </w:rPr>
        <w:t>起三年</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年8月15日至2025年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年8月15日至2025年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4日的服务经费总计2,400,000.00元</w:t>
      </w:r>
      <w:r>
        <w:rPr>
          <w:rFonts w:hint="eastAsia" w:ascii="Times New Roman" w:hAnsi="Times New Roman" w:eastAsia="仿宋_GB2312" w:cs="Times New Roman"/>
          <w:sz w:val="28"/>
          <w:szCs w:val="28"/>
        </w:rPr>
        <w:t>，分为三期拨付。第一期在协议签订生效之日起30个工作日内拨付年度项目经费的55%即1,320,000.00元，年度中期评估为合格以上的拨付年度项目经费的40%即960,000.00元，年度末期评估为合格以上的拨付年度项目经费的5%即120,000.00元</w:t>
      </w:r>
      <w:r>
        <w:rPr>
          <w:rFonts w:ascii="Times New Roman" w:hAnsi="Times New Roman" w:eastAsia="仿宋_GB2312"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二、南村镇西片社工站财务管理制度执行情况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南村镇西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费用报销制度</w:t>
      </w:r>
      <w:r>
        <w:rPr>
          <w:rFonts w:ascii="Times New Roman" w:hAnsi="Times New Roman" w:eastAsia="仿宋" w:cs="Times New Roman"/>
          <w:sz w:val="28"/>
          <w:szCs w:val="28"/>
        </w:rPr>
        <w:t>》《</w:t>
      </w:r>
      <w:r>
        <w:rPr>
          <w:rFonts w:hint="eastAsia" w:ascii="Times New Roman" w:hAnsi="Times New Roman" w:eastAsia="仿宋" w:cs="Times New Roman"/>
          <w:sz w:val="28"/>
          <w:szCs w:val="28"/>
        </w:rPr>
        <w:t>薪酬管理制度</w:t>
      </w:r>
      <w:r>
        <w:rPr>
          <w:rFonts w:ascii="Times New Roman" w:hAnsi="Times New Roman" w:eastAsia="仿宋" w:cs="Times New Roman"/>
          <w:sz w:val="28"/>
          <w:szCs w:val="28"/>
        </w:rPr>
        <w:t>》</w:t>
      </w:r>
      <w:r>
        <w:rPr>
          <w:rFonts w:hint="eastAsia" w:ascii="Times New Roman" w:hAnsi="Times New Roman" w:eastAsia="仿宋_GB2312" w:cs="Times New Roman"/>
          <w:sz w:val="28"/>
          <w:szCs w:val="28"/>
        </w:rPr>
        <w:t>等财务内部控制制度</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南村镇西片社工站在实际工作中能按上述制度要求编制“</w:t>
      </w:r>
      <w:r>
        <w:rPr>
          <w:rFonts w:hint="eastAsia" w:ascii="Times New Roman" w:hAnsi="Times New Roman" w:eastAsia="仿宋" w:cs="Times New Roman"/>
          <w:sz w:val="28"/>
          <w:szCs w:val="28"/>
        </w:rPr>
        <w:t>南村镇西片社工服务站第一年财务预算</w:t>
      </w:r>
      <w:r>
        <w:rPr>
          <w:rFonts w:ascii="Times New Roman" w:hAnsi="Times New Roman" w:eastAsia="仿宋" w:cs="Times New Roman"/>
          <w:sz w:val="28"/>
          <w:szCs w:val="28"/>
        </w:rPr>
        <w:t>”；在经费报销和预支申请等方面均能执行承接机构制度规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《资产管理制度》对固定资产的会计核算增减变动及日常管理等进行了相关规定</w:t>
      </w:r>
      <w:r>
        <w:rPr>
          <w:rFonts w:ascii="Times New Roman" w:hAnsi="Times New Roman" w:eastAsia="仿宋" w:cs="Times New Roman"/>
          <w:sz w:val="28"/>
          <w:szCs w:val="28"/>
        </w:rPr>
        <w:t>，南村镇西片社工站严格执行该项制度，并定期对固定资产进行盘点。</w:t>
      </w:r>
    </w:p>
    <w:p>
      <w:pPr>
        <w:spacing w:line="590" w:lineRule="exact"/>
        <w:ind w:firstLine="552" w:firstLineChars="200"/>
        <w:rPr>
          <w:rFonts w:ascii="Times New Roman" w:hAnsi="Times New Roman" w:eastAsia="仿宋" w:cs="Times New Roman"/>
          <w:sz w:val="28"/>
          <w:szCs w:val="28"/>
        </w:rPr>
      </w:pPr>
      <w:r>
        <w:rPr>
          <w:rFonts w:hint="eastAsia" w:ascii="Times New Roman" w:hAnsi="Times New Roman" w:eastAsia="仿宋_GB2312" w:cs="Times New Roman"/>
          <w:spacing w:val="-2"/>
          <w:sz w:val="28"/>
          <w:szCs w:val="28"/>
        </w:rPr>
        <w:t>３</w:t>
      </w:r>
      <w:r>
        <w:rPr>
          <w:rFonts w:ascii="Times New Roman" w:hAnsi="Times New Roman" w:eastAsia="仿宋_GB2312" w:cs="Times New Roman"/>
          <w:spacing w:val="-2"/>
          <w:sz w:val="28"/>
          <w:szCs w:val="28"/>
        </w:rPr>
        <w:t>、</w:t>
      </w:r>
      <w:bookmarkStart w:id="3" w:name="_Hlk110953931"/>
      <w:r>
        <w:rPr>
          <w:rFonts w:ascii="Times New Roman" w:hAnsi="Times New Roman" w:eastAsia="仿宋_GB2312" w:cs="Times New Roman"/>
          <w:spacing w:val="-2"/>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pacing w:val="-2"/>
          <w:sz w:val="28"/>
          <w:szCs w:val="28"/>
        </w:rPr>
        <w:t>已按要求编制服务期内南村镇西片社工站的</w:t>
      </w:r>
      <w:r>
        <w:rPr>
          <w:rFonts w:hint="eastAsia" w:ascii="Times New Roman" w:hAnsi="Times New Roman" w:eastAsia="仿宋" w:cs="Times New Roman"/>
          <w:spacing w:val="-2"/>
          <w:sz w:val="28"/>
          <w:szCs w:val="28"/>
        </w:rPr>
        <w:t>财务自评报告</w:t>
      </w:r>
      <w:r>
        <w:rPr>
          <w:rFonts w:ascii="Times New Roman" w:hAnsi="Times New Roman" w:eastAsia="仿宋_GB2312" w:cs="Times New Roman"/>
          <w:spacing w:val="-2"/>
          <w:sz w:val="28"/>
          <w:szCs w:val="28"/>
        </w:rPr>
        <w:t>；中心</w:t>
      </w:r>
      <w:r>
        <w:rPr>
          <w:rFonts w:hint="eastAsia" w:ascii="Times New Roman" w:hAnsi="Times New Roman" w:eastAsia="仿宋_GB2312" w:cs="Times New Roman"/>
          <w:spacing w:val="-2"/>
          <w:sz w:val="28"/>
          <w:szCs w:val="28"/>
        </w:rPr>
        <w:t>2023</w:t>
      </w:r>
      <w:r>
        <w:rPr>
          <w:rFonts w:ascii="Times New Roman" w:hAnsi="Times New Roman" w:eastAsia="仿宋_GB2312" w:cs="Times New Roman"/>
          <w:spacing w:val="-2"/>
          <w:sz w:val="28"/>
          <w:szCs w:val="28"/>
        </w:rPr>
        <w:t>年度财务报表已经</w:t>
      </w:r>
      <w:r>
        <w:rPr>
          <w:rFonts w:hint="eastAsia" w:ascii="Times New Roman" w:hAnsi="Times New Roman" w:eastAsia="仿宋_GB2312" w:cs="Times New Roman"/>
          <w:spacing w:val="-2"/>
          <w:sz w:val="28"/>
          <w:szCs w:val="28"/>
        </w:rPr>
        <w:t>广州弘一会计师事务所（普通合伙）审计</w:t>
      </w:r>
      <w:r>
        <w:rPr>
          <w:rFonts w:ascii="Times New Roman" w:hAnsi="Times New Roman" w:eastAsia="仿宋_GB2312" w:cs="Times New Roman"/>
          <w:spacing w:val="-2"/>
          <w:sz w:val="28"/>
          <w:szCs w:val="28"/>
        </w:rPr>
        <w:t>，并取得</w:t>
      </w:r>
      <w:r>
        <w:rPr>
          <w:rFonts w:hint="eastAsia" w:ascii="Times New Roman" w:hAnsi="Times New Roman" w:eastAsia="仿宋" w:cs="Times New Roman"/>
          <w:spacing w:val="-2"/>
          <w:sz w:val="28"/>
          <w:szCs w:val="28"/>
        </w:rPr>
        <w:t>弘一年审</w:t>
      </w:r>
      <w:r>
        <w:rPr>
          <w:rFonts w:hint="eastAsia" w:ascii="Times New Roman" w:hAnsi="Times New Roman" w:eastAsia="仿宋_GB2312" w:cs="Times New Roman"/>
          <w:spacing w:val="-2"/>
          <w:sz w:val="28"/>
          <w:szCs w:val="28"/>
        </w:rPr>
        <w:t>[</w:t>
      </w:r>
      <w:r>
        <w:rPr>
          <w:rFonts w:ascii="Times New Roman" w:hAnsi="Times New Roman" w:eastAsia="仿宋_GB2312" w:cs="Times New Roman"/>
          <w:spacing w:val="-2"/>
          <w:sz w:val="28"/>
          <w:szCs w:val="28"/>
        </w:rPr>
        <w:t>202</w:t>
      </w:r>
      <w:r>
        <w:rPr>
          <w:rFonts w:hint="eastAsia" w:ascii="Times New Roman" w:hAnsi="Times New Roman" w:eastAsia="仿宋_GB2312" w:cs="Times New Roman"/>
          <w:spacing w:val="-2"/>
          <w:sz w:val="28"/>
          <w:szCs w:val="28"/>
        </w:rPr>
        <w:t>4]</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0114</w:t>
      </w:r>
      <w:r>
        <w:rPr>
          <w:rFonts w:ascii="Times New Roman" w:hAnsi="Times New Roman" w:eastAsia="仿宋_GB2312" w:cs="Times New Roman"/>
          <w:spacing w:val="-2"/>
          <w:sz w:val="28"/>
          <w:szCs w:val="28"/>
        </w:rPr>
        <w:t>号无保留意见审计报告，202</w:t>
      </w:r>
      <w:r>
        <w:rPr>
          <w:rFonts w:hint="eastAsia" w:ascii="Times New Roman" w:hAnsi="Times New Roman" w:eastAsia="仿宋_GB2312" w:cs="Times New Roman"/>
          <w:spacing w:val="-2"/>
          <w:sz w:val="28"/>
          <w:szCs w:val="28"/>
        </w:rPr>
        <w:t>3</w:t>
      </w:r>
      <w:r>
        <w:rPr>
          <w:rFonts w:ascii="Times New Roman" w:hAnsi="Times New Roman" w:eastAsia="仿宋" w:cs="Times New Roman"/>
          <w:spacing w:val="-2"/>
          <w:sz w:val="28"/>
          <w:szCs w:val="28"/>
        </w:rPr>
        <w:t>年度企业所得税纳税情况已经</w:t>
      </w:r>
      <w:r>
        <w:rPr>
          <w:rFonts w:hint="eastAsia" w:ascii="Times New Roman" w:hAnsi="Times New Roman" w:eastAsia="仿宋_GB2312" w:cs="Times New Roman"/>
          <w:spacing w:val="-2"/>
          <w:sz w:val="28"/>
          <w:szCs w:val="28"/>
        </w:rPr>
        <w:t>广州睿鑫税务师事务所有限公司</w:t>
      </w:r>
      <w:r>
        <w:rPr>
          <w:rFonts w:ascii="Times New Roman" w:hAnsi="Times New Roman" w:eastAsia="仿宋_GB2312" w:cs="Times New Roman"/>
          <w:spacing w:val="-2"/>
          <w:sz w:val="28"/>
          <w:szCs w:val="28"/>
        </w:rPr>
        <w:t>复核，并取得</w:t>
      </w:r>
      <w:bookmarkEnd w:id="3"/>
      <w:r>
        <w:rPr>
          <w:rFonts w:hint="eastAsia" w:ascii="Times New Roman" w:hAnsi="Times New Roman" w:eastAsia="仿宋_GB2312" w:cs="Times New Roman"/>
          <w:spacing w:val="-2"/>
          <w:sz w:val="28"/>
          <w:szCs w:val="28"/>
        </w:rPr>
        <w:t>睿鑫税审字（2024）</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X0002</w:t>
      </w:r>
      <w:r>
        <w:rPr>
          <w:rFonts w:ascii="Times New Roman" w:hAnsi="Times New Roman" w:eastAsia="仿宋_GB2312" w:cs="Times New Roman"/>
          <w:spacing w:val="-2"/>
          <w:sz w:val="28"/>
          <w:szCs w:val="28"/>
        </w:rPr>
        <w:t>号</w:t>
      </w:r>
      <w:r>
        <w:rPr>
          <w:rFonts w:ascii="Times New Roman" w:hAnsi="Times New Roman" w:eastAsia="仿宋" w:cs="Times New Roman"/>
          <w:spacing w:val="-2"/>
          <w:sz w:val="28"/>
          <w:szCs w:val="28"/>
        </w:rPr>
        <w:t>纳税调整报告</w:t>
      </w:r>
      <w:r>
        <w:rPr>
          <w:rFonts w:ascii="Times New Roman" w:hAnsi="Times New Roman" w:eastAsia="仿宋_GB2312" w:cs="Times New Roman"/>
          <w:spacing w:val="-2"/>
          <w:sz w:val="28"/>
          <w:szCs w:val="28"/>
        </w:rPr>
        <w:t>。</w:t>
      </w:r>
      <w:r>
        <w:rPr>
          <w:rFonts w:ascii="Times New Roman" w:hAnsi="Times New Roman" w:eastAsia="仿宋" w:cs="Times New Roman"/>
          <w:spacing w:val="-4"/>
          <w:sz w:val="28"/>
          <w:szCs w:val="28"/>
        </w:rPr>
        <w:t>截</w:t>
      </w:r>
      <w:r>
        <w:rPr>
          <w:rFonts w:hint="eastAsia" w:ascii="Times New Roman" w:hAnsi="Times New Roman" w:eastAsia="仿宋" w:cs="Times New Roman"/>
          <w:spacing w:val="-4"/>
          <w:sz w:val="28"/>
          <w:szCs w:val="28"/>
        </w:rPr>
        <w:t>至</w:t>
      </w:r>
      <w:r>
        <w:rPr>
          <w:rFonts w:ascii="Times New Roman" w:hAnsi="Times New Roman" w:eastAsia="仿宋" w:cs="Times New Roman"/>
          <w:spacing w:val="-4"/>
          <w:sz w:val="28"/>
          <w:szCs w:val="28"/>
        </w:rPr>
        <w:t>报告日，中心暂未出具2024年度审计报告及汇算清缴纳税调整报告。</w:t>
      </w:r>
    </w:p>
    <w:p>
      <w:pPr>
        <w:spacing w:line="620" w:lineRule="exact"/>
        <w:ind w:right="-6" w:rightChars="-3"/>
        <w:rPr>
          <w:rFonts w:ascii="Times New Roman" w:hAnsi="Times New Roman" w:eastAsia="仿宋_GB2312" w:cs="Times New Roman"/>
          <w:sz w:val="28"/>
          <w:szCs w:val="28"/>
        </w:rPr>
      </w:pPr>
      <w:r>
        <w:rPr>
          <w:rFonts w:ascii="Times New Roman" w:hAnsi="Times New Roman" w:eastAsia="仿宋_GB2312" w:cs="Times New Roman"/>
          <w:b/>
          <w:sz w:val="28"/>
          <w:szCs w:val="28"/>
        </w:rPr>
        <w:t>三、南村镇西片社工站人员配备情况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配置财务人员</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名，</w:t>
      </w:r>
      <w:r>
        <w:rPr>
          <w:rFonts w:ascii="Times New Roman" w:hAnsi="Times New Roman" w:eastAsia="仿宋" w:cs="Times New Roman"/>
          <w:sz w:val="28"/>
          <w:szCs w:val="28"/>
        </w:rPr>
        <w:t>分别担任</w:t>
      </w:r>
      <w:r>
        <w:rPr>
          <w:rFonts w:hint="eastAsia" w:ascii="Times New Roman" w:hAnsi="Times New Roman" w:eastAsia="仿宋" w:cs="Times New Roman"/>
          <w:sz w:val="28"/>
          <w:szCs w:val="28"/>
        </w:rPr>
        <w:t>财务和</w:t>
      </w:r>
      <w:r>
        <w:rPr>
          <w:rFonts w:ascii="Times New Roman" w:hAnsi="Times New Roman" w:eastAsia="仿宋" w:cs="Times New Roman"/>
          <w:sz w:val="28"/>
          <w:szCs w:val="28"/>
        </w:rPr>
        <w:t>出纳岗位，负责包括</w:t>
      </w:r>
      <w:r>
        <w:rPr>
          <w:rFonts w:ascii="Times New Roman" w:hAnsi="Times New Roman" w:eastAsia="仿宋_GB2312" w:cs="Times New Roman"/>
          <w:sz w:val="28"/>
          <w:szCs w:val="28"/>
        </w:rPr>
        <w:t>南村镇西片社工站在内的中心财务工作</w:t>
      </w:r>
      <w:r>
        <w:rPr>
          <w:rFonts w:ascii="Times New Roman" w:hAnsi="Times New Roman" w:eastAsia="仿宋" w:cs="Times New Roman"/>
          <w:sz w:val="28"/>
          <w:szCs w:val="28"/>
        </w:rPr>
        <w:t>，其中</w:t>
      </w:r>
      <w:r>
        <w:rPr>
          <w:rFonts w:hint="eastAsia" w:ascii="Times New Roman" w:hAnsi="Times New Roman" w:eastAsia="仿宋" w:cs="Times New Roman"/>
          <w:sz w:val="28"/>
          <w:szCs w:val="28"/>
        </w:rPr>
        <w:t>财务阳丽娟</w:t>
      </w:r>
      <w:r>
        <w:rPr>
          <w:rFonts w:ascii="Times New Roman" w:hAnsi="Times New Roman" w:eastAsia="仿宋" w:cs="Times New Roman"/>
          <w:sz w:val="28"/>
          <w:szCs w:val="28"/>
        </w:rPr>
        <w:t>已取得</w:t>
      </w:r>
      <w:r>
        <w:rPr>
          <w:rFonts w:hint="eastAsia" w:ascii="Times New Roman" w:hAnsi="Times New Roman" w:eastAsia="仿宋" w:cs="Times New Roman"/>
          <w:sz w:val="28"/>
          <w:szCs w:val="28"/>
        </w:rPr>
        <w:t>初级会计职称证书</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w:t>
      </w:r>
      <w:r>
        <w:rPr>
          <w:rFonts w:hint="eastAsia" w:ascii="Times New Roman" w:hAnsi="Times New Roman" w:eastAsia="仿宋" w:cs="Times New Roman"/>
          <w:sz w:val="28"/>
          <w:szCs w:val="28"/>
        </w:rPr>
        <w:t>财务阳丽娟</w:t>
      </w:r>
      <w:r>
        <w:rPr>
          <w:rFonts w:ascii="Times New Roman" w:hAnsi="Times New Roman" w:eastAsia="仿宋" w:cs="Times New Roman"/>
          <w:sz w:val="28"/>
          <w:szCs w:val="28"/>
        </w:rPr>
        <w:t>已完成</w:t>
      </w:r>
      <w:r>
        <w:rPr>
          <w:rFonts w:hint="eastAsia" w:ascii="Times New Roman" w:hAnsi="Times New Roman" w:eastAsia="仿宋" w:cs="Times New Roman"/>
          <w:sz w:val="28"/>
          <w:szCs w:val="28"/>
        </w:rPr>
        <w:t>2024</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4" w:name="_Hlk110958106"/>
      <w:r>
        <w:rPr>
          <w:rFonts w:ascii="Times New Roman" w:hAnsi="Times New Roman" w:eastAsia="仿宋" w:cs="Times New Roman"/>
          <w:sz w:val="28"/>
          <w:szCs w:val="28"/>
        </w:rPr>
        <w:t>符合要求</w:t>
      </w:r>
      <w:bookmarkEnd w:id="4"/>
      <w:r>
        <w:rPr>
          <w:rFonts w:ascii="Times New Roman" w:hAnsi="Times New Roman" w:eastAsia="仿宋"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四、南村镇西片社工站服务经费支出情况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hint="eastAsia" w:ascii="Times New Roman" w:hAnsi="Times New Roman" w:eastAsia="仿宋_GB2312" w:cs="Times New Roman"/>
          <w:sz w:val="28"/>
          <w:szCs w:val="28"/>
        </w:rPr>
        <w:t>根据《广州市人民政府办公厅关于印发广州市社工服务站管理办法的通知》（穗府办〔2023〕7号）、《广州市民政局关于印发〈广州市社工服务站管理办法〉有关配套文件的通知》（穗民〔2023〕97号）等相关规定，结合实际情况建立了《财务管理制度》、《费用报销制度》，明确了财务经费支出的审核程序及支出权限。制度规定：所涉及的各项费用均属于预算范围内经费，无预算、超预算费用原则上不予报销；费用报销实行同级监督、层次审批，费用报销不能自行审批，也不能越级审批；项目主任/部门负责人对费用进行核实及审批，费用在1000元以内由机构总干事审批，1000元以上或超出预算20%（需据实填写情况说明）由机构总干事和理事长共同商讨并审批后方可执行。本评估期内南村镇西片社工站经费支出具体情况如下：</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南村镇西片社工站经费使用的范围、比例基本能按《广州市社工服务站管理办法》有关规定执行。南村镇西片社工站每年有制定“关于社工站的经费预算表”，明确规划了协议期内的收入和支出预算计划，经费支出预算表基本能符合《民间非营利组织会计制度》和</w:t>
      </w:r>
      <w:r>
        <w:rPr>
          <w:rFonts w:hint="eastAsia" w:ascii="Times New Roman" w:hAnsi="Times New Roman" w:eastAsia="仿宋_GB2312" w:cs="Times New Roman"/>
          <w:sz w:val="28"/>
          <w:szCs w:val="28"/>
        </w:rPr>
        <w:t>广州市番禺区南村镇人民政府</w:t>
      </w:r>
      <w:r>
        <w:rPr>
          <w:rFonts w:ascii="Times New Roman" w:hAnsi="Times New Roman" w:eastAsia="仿宋_GB2312" w:cs="Times New Roman"/>
          <w:sz w:val="28"/>
          <w:szCs w:val="28"/>
        </w:rPr>
        <w:t>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经审核，南村镇西片社工站财务支出的事由、票据、标准基本合理。南村镇西片社工站有经费预算程序，财务支出根据经费预算计划执行、基本能按预算标准支出，并有财务支出票据。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经审核，南村镇西片社工站能按承接机构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财务制度规定的审批权限进行审批。经费支出由经办人、证明人、审核人签名。</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已建立财务支出管理的监控机制，并在南村镇西片社工站得到较规范执行。</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能按规定开设银行基本账户，按规定对该南村镇西片社工站开设银行一般账户</w:t>
      </w:r>
      <w:r>
        <w:rPr>
          <w:rFonts w:hint="eastAsia" w:ascii="Times New Roman" w:hAnsi="Times New Roman" w:eastAsia="仿宋_GB2312" w:cs="Times New Roman"/>
          <w:sz w:val="28"/>
          <w:szCs w:val="28"/>
        </w:rPr>
        <w:t>，日常财务支出采用专户支付和基本户代付后专户转回结合的方式。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有定期向购买方提交南村镇西片社工站服务经费使用情况报告，对经费预算及使用情况作比对分析。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南村镇西片社工站财务支出票据、凭证填制较完整，账目设置、票据管理较规范。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五、南村镇西片社工站会计核算情况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对南村镇西片社工站会计科目设置合理，所有服务业务均编制了记账凭证、登记了明细分类账簿和总账，核算做到账册、账账、账表相符，编制了会计报表，并符合相关会计制度独立核算。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对承接的南村镇西片社工站政府购买服务资金的服务经费支出，能按要求做到分项目核算。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_GB2312" w:cs="Times New Roman"/>
          <w:sz w:val="28"/>
          <w:szCs w:val="28"/>
        </w:rPr>
        <w:t>对承接的南村镇西片社工站政府购买服务资金的服务经费支出，能按要求做到领域服务经费分开归集。</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w:t>
      </w:r>
      <w:r>
        <w:rPr>
          <w:rFonts w:ascii="Times New Roman" w:hAnsi="Times New Roman" w:eastAsia="仿宋_GB2312" w:cs="Times New Roman"/>
          <w:sz w:val="28"/>
          <w:szCs w:val="28"/>
        </w:rPr>
        <w:t>8</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15</w:t>
      </w:r>
      <w:r>
        <w:rPr>
          <w:rFonts w:hint="eastAsia" w:ascii="Times New Roman" w:hAnsi="Times New Roman" w:eastAsia="仿宋_GB2312" w:cs="Times New Roman"/>
          <w:sz w:val="28"/>
          <w:szCs w:val="28"/>
        </w:rPr>
        <w:t>日至2025年</w:t>
      </w:r>
      <w:r>
        <w:rPr>
          <w:rFonts w:ascii="Times New Roman" w:hAnsi="Times New Roman" w:eastAsia="仿宋_GB2312" w:cs="Times New Roman"/>
          <w:sz w:val="28"/>
          <w:szCs w:val="28"/>
        </w:rPr>
        <w:t>2月14日</w:t>
      </w:r>
      <w:r>
        <w:rPr>
          <w:rFonts w:hint="eastAsia" w:ascii="Times New Roman" w:hAnsi="Times New Roman" w:eastAsia="仿宋_GB2312" w:cs="Times New Roman"/>
          <w:sz w:val="28"/>
          <w:szCs w:val="28"/>
        </w:rPr>
        <w:t>（以下简称本评估期）</w:t>
      </w:r>
      <w:r>
        <w:rPr>
          <w:rFonts w:ascii="Times New Roman" w:hAnsi="Times New Roman" w:eastAsia="仿宋_GB2312" w:cs="Times New Roman"/>
          <w:sz w:val="28"/>
          <w:szCs w:val="28"/>
        </w:rPr>
        <w:t>，南村镇西片社工站收到本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5" w:name="_Hlk110687493"/>
      <w:r>
        <w:rPr>
          <w:rFonts w:ascii="Times New Roman" w:hAnsi="Times New Roman" w:eastAsia="仿宋_GB2312" w:cs="Times New Roman"/>
          <w:sz w:val="28"/>
          <w:szCs w:val="28"/>
        </w:rPr>
        <w:t>经费</w:t>
      </w:r>
      <w:bookmarkEnd w:id="5"/>
      <w:r>
        <w:rPr>
          <w:rFonts w:hint="eastAsia" w:ascii="Times New Roman" w:hAnsi="Times New Roman" w:eastAsia="仿宋_GB2312" w:cs="Times New Roman"/>
          <w:sz w:val="28"/>
          <w:szCs w:val="28"/>
        </w:rPr>
        <w:t>0.00</w:t>
      </w:r>
      <w:r>
        <w:rPr>
          <w:rFonts w:ascii="Times New Roman" w:hAnsi="Times New Roman" w:eastAsia="仿宋_GB2312" w:cs="Times New Roman"/>
          <w:sz w:val="28"/>
          <w:szCs w:val="28"/>
        </w:rPr>
        <w:t>元，归属于本评估期的服务经费支出累计1,234,563.01元</w:t>
      </w:r>
      <w:bookmarkStart w:id="6" w:name="_Hlk110687647"/>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本评估期结余金</w:t>
      </w:r>
      <w:r>
        <w:rPr>
          <w:rFonts w:hint="eastAsia" w:ascii="Times New Roman" w:hAnsi="Times New Roman" w:eastAsia="仿宋_GB2312" w:cs="Times New Roman"/>
          <w:sz w:val="28"/>
          <w:szCs w:val="28"/>
        </w:rPr>
        <w:t>额</w:t>
      </w:r>
      <w:r>
        <w:rPr>
          <w:rFonts w:ascii="Times New Roman" w:hAnsi="Times New Roman" w:eastAsia="仿宋_GB2312" w:cs="Times New Roman"/>
          <w:sz w:val="28"/>
          <w:szCs w:val="28"/>
        </w:rPr>
        <w:t>-1,234,563.01元</w:t>
      </w:r>
      <w:bookmarkEnd w:id="6"/>
      <w:r>
        <w:rPr>
          <w:rFonts w:ascii="Times New Roman" w:hAnsi="Times New Roman" w:eastAsia="仿宋_GB2312" w:cs="Times New Roman"/>
          <w:sz w:val="28"/>
          <w:szCs w:val="28"/>
        </w:rPr>
        <w:t>。</w:t>
      </w:r>
    </w:p>
    <w:p>
      <w:pPr>
        <w:spacing w:line="580" w:lineRule="exact"/>
        <w:ind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㈠用于人员费用支出1,024,085.68元，占</w:t>
      </w:r>
      <w:r>
        <w:rPr>
          <w:rFonts w:hint="eastAsia" w:ascii="Times New Roman" w:hAnsi="Times New Roman" w:eastAsia="仿宋_GB2312" w:cs="Times New Roman"/>
          <w:spacing w:val="-2"/>
          <w:sz w:val="28"/>
          <w:szCs w:val="28"/>
        </w:rPr>
        <w:t>本协议期应收服务经费的</w:t>
      </w:r>
      <w:r>
        <w:rPr>
          <w:rFonts w:ascii="Times New Roman" w:hAnsi="Times New Roman" w:eastAsia="仿宋_GB2312" w:cs="Times New Roman"/>
          <w:spacing w:val="-2"/>
          <w:sz w:val="28"/>
          <w:szCs w:val="28"/>
        </w:rPr>
        <w:t>42.67%，本期预算执行率</w:t>
      </w:r>
      <w:r>
        <w:rPr>
          <w:rFonts w:hint="eastAsia" w:ascii="Times New Roman" w:hAnsi="Times New Roman" w:eastAsia="仿宋_GB2312" w:cs="Times New Roman"/>
          <w:spacing w:val="-2"/>
          <w:sz w:val="28"/>
          <w:szCs w:val="28"/>
        </w:rPr>
        <w:t>（整体协议期）</w:t>
      </w:r>
      <w:r>
        <w:rPr>
          <w:rFonts w:ascii="Times New Roman" w:hAnsi="Times New Roman" w:eastAsia="仿宋_GB2312" w:cs="Times New Roman"/>
          <w:spacing w:val="-2"/>
          <w:sz w:val="28"/>
          <w:szCs w:val="28"/>
        </w:rPr>
        <w:t>53.32%。其中：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、工资总额支出855,808.52元；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148,313.16</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19,964.00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98,229.89</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w:t>
      </w:r>
      <w:r>
        <w:rPr>
          <w:rFonts w:ascii="Times New Roman" w:hAnsi="Times New Roman" w:eastAsia="仿宋_GB2312" w:cs="Times New Roman"/>
          <w:sz w:val="28"/>
          <w:szCs w:val="28"/>
        </w:rPr>
        <w:t>4.09%</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本期预算执行率</w:t>
      </w:r>
      <w:r>
        <w:rPr>
          <w:rFonts w:hint="eastAsia" w:ascii="Times New Roman" w:hAnsi="Times New Roman" w:eastAsia="仿宋_GB2312" w:cs="Times New Roman"/>
          <w:sz w:val="28"/>
          <w:szCs w:val="28"/>
        </w:rPr>
        <w:t>（整体协议期）40.76%</w:t>
      </w:r>
      <w:r>
        <w:rPr>
          <w:rFonts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w:t>
      </w:r>
      <w:r>
        <w:rPr>
          <w:rFonts w:hint="eastAsia" w:ascii="Times New Roman" w:hAnsi="Times New Roman" w:eastAsia="仿宋_GB2312" w:cs="Times New Roman"/>
          <w:sz w:val="28"/>
          <w:szCs w:val="28"/>
        </w:rPr>
        <w:t>性</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11,405.07</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olor w:val="000000" w:themeColor="text1"/>
          <w:sz w:val="28"/>
          <w:szCs w:val="28"/>
          <w14:textFill>
            <w14:solidFill>
              <w14:schemeClr w14:val="tx1"/>
            </w14:solidFill>
          </w14:textFill>
        </w:rPr>
        <w:t>服务和活动物料支出</w:t>
      </w:r>
      <w:r>
        <w:rPr>
          <w:rFonts w:hint="eastAsia" w:ascii="Times New Roman" w:hAnsi="Times New Roman" w:eastAsia="仿宋_GB2312" w:cs="Times New Roman"/>
          <w:sz w:val="28"/>
          <w:szCs w:val="28"/>
        </w:rPr>
        <w:t>2,559.93</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5,392.60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，其中社工站环保袋费3,600.00元（2025年1月记42）</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支出3,452.54元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、用于日常办公费用支出39,304.82元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w:t>
      </w:r>
      <w:r>
        <w:rPr>
          <w:rFonts w:hint="eastAsia" w:ascii="Times New Roman" w:hAnsi="Times New Roman" w:eastAsia="仿宋_GB2312" w:cs="Times New Roman"/>
          <w:sz w:val="28"/>
          <w:szCs w:val="28"/>
        </w:rPr>
        <w:t>12,516.23</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，其中：支付社工190桶桶装水费用</w:t>
      </w:r>
      <w:r>
        <w:rPr>
          <w:rFonts w:ascii="Times New Roman" w:hAnsi="Times New Roman" w:eastAsia="仿宋_GB2312" w:cs="Times New Roman"/>
          <w:sz w:val="28"/>
          <w:szCs w:val="28"/>
        </w:rPr>
        <w:t>2,500.00</w:t>
      </w:r>
      <w:r>
        <w:rPr>
          <w:rFonts w:hint="eastAsia" w:ascii="Times New Roman" w:hAnsi="Times New Roman" w:eastAsia="仿宋_GB2312" w:cs="Times New Roman"/>
          <w:sz w:val="28"/>
          <w:szCs w:val="28"/>
        </w:rPr>
        <w:t>元（10月记209），支付社工站</w:t>
      </w:r>
      <w:bookmarkStart w:id="8" w:name="_GoBack"/>
      <w:bookmarkEnd w:id="8"/>
      <w:r>
        <w:rPr>
          <w:rFonts w:hint="eastAsia" w:ascii="Times New Roman" w:hAnsi="Times New Roman" w:eastAsia="仿宋_GB2312" w:cs="Times New Roman"/>
          <w:sz w:val="28"/>
          <w:szCs w:val="28"/>
        </w:rPr>
        <w:t>打印费</w:t>
      </w:r>
      <w:r>
        <w:rPr>
          <w:rFonts w:ascii="Times New Roman" w:hAnsi="Times New Roman" w:eastAsia="仿宋_GB2312" w:cs="Times New Roman"/>
          <w:sz w:val="28"/>
          <w:szCs w:val="28"/>
        </w:rPr>
        <w:t>7,712.20</w:t>
      </w:r>
      <w:r>
        <w:rPr>
          <w:rFonts w:hint="eastAsia" w:ascii="Times New Roman" w:hAnsi="Times New Roman" w:eastAsia="仿宋_GB2312" w:cs="Times New Roman"/>
          <w:sz w:val="28"/>
          <w:szCs w:val="28"/>
        </w:rPr>
        <w:t>元（12月记105），</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保洁</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1,242.53</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水电费支出12,216.52元；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交通</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295.03</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3,593.51</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宋体" w:hAnsi="宋体" w:eastAsia="宋体" w:cs="宋体"/>
          <w:sz w:val="28"/>
          <w:szCs w:val="28"/>
        </w:rPr>
      </w:pPr>
      <w:r>
        <w:rPr>
          <w:rFonts w:hint="eastAsia" w:ascii="宋体" w:hAnsi="宋体" w:eastAsia="宋体" w:cs="宋体"/>
          <w:sz w:val="28"/>
          <w:szCs w:val="28"/>
        </w:rPr>
        <w:t>⑹</w:t>
      </w:r>
      <w:r>
        <w:rPr>
          <w:rFonts w:hint="eastAsia" w:ascii="Times New Roman" w:hAnsi="Times New Roman" w:eastAsia="仿宋_GB2312" w:cs="Times New Roman"/>
          <w:sz w:val="28"/>
          <w:szCs w:val="28"/>
        </w:rPr>
        <w:t>维修</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1,280.00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⑺</w:t>
      </w:r>
      <w:r>
        <w:rPr>
          <w:rFonts w:hint="eastAsia" w:ascii="Times New Roman" w:hAnsi="Times New Roman" w:eastAsia="仿宋_GB2312" w:cs="Times New Roman"/>
          <w:sz w:val="28"/>
          <w:szCs w:val="28"/>
        </w:rPr>
        <w:t>银行手续</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501.00</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⑻</w:t>
      </w:r>
      <w:r>
        <w:rPr>
          <w:rFonts w:hint="eastAsia" w:ascii="Times New Roman" w:hAnsi="Times New Roman" w:eastAsia="仿宋_GB2312" w:cs="Times New Roman"/>
          <w:sz w:val="28"/>
          <w:szCs w:val="28"/>
        </w:rPr>
        <w:t>福利</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7,660.00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，其中支付社工站中秋月饼费</w:t>
      </w:r>
      <w:r>
        <w:rPr>
          <w:rFonts w:ascii="Times New Roman" w:hAnsi="Times New Roman" w:eastAsia="仿宋_GB2312" w:cs="Times New Roman"/>
          <w:sz w:val="28"/>
          <w:szCs w:val="28"/>
        </w:rPr>
        <w:t>2,560.00</w:t>
      </w:r>
      <w:r>
        <w:rPr>
          <w:rFonts w:hint="eastAsia" w:ascii="Times New Roman" w:hAnsi="Times New Roman" w:eastAsia="仿宋_GB2312" w:cs="Times New Roman"/>
          <w:sz w:val="28"/>
          <w:szCs w:val="28"/>
        </w:rPr>
        <w:t>元（10月记19），支付社工站员工体检费</w:t>
      </w:r>
      <w:r>
        <w:rPr>
          <w:rFonts w:ascii="Times New Roman" w:hAnsi="Times New Roman" w:eastAsia="仿宋_GB2312" w:cs="Times New Roman"/>
          <w:sz w:val="28"/>
          <w:szCs w:val="28"/>
        </w:rPr>
        <w:t>5,100.00</w:t>
      </w:r>
      <w:r>
        <w:rPr>
          <w:rFonts w:hint="eastAsia" w:ascii="Times New Roman" w:hAnsi="Times New Roman" w:eastAsia="仿宋_GB2312" w:cs="Times New Roman"/>
          <w:sz w:val="28"/>
          <w:szCs w:val="28"/>
        </w:rPr>
        <w:t>元（12月记346）。</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４、用于机构年度相关税费支出47,520.00元</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112,247.44</w:t>
      </w:r>
      <w:r>
        <w:rPr>
          <w:rFonts w:ascii="Times New Roman" w:hAnsi="Times New Roman" w:eastAsia="仿宋_GB2312" w:cs="Times New Roman"/>
          <w:sz w:val="28"/>
          <w:szCs w:val="28"/>
        </w:rPr>
        <w:t>元，占</w:t>
      </w:r>
      <w:r>
        <w:rPr>
          <w:rFonts w:hint="eastAsia" w:ascii="Times New Roman" w:hAnsi="Times New Roman" w:eastAsia="仿宋_GB2312" w:cs="Times New Roman"/>
          <w:sz w:val="28"/>
          <w:szCs w:val="28"/>
        </w:rPr>
        <w:t>本协议期应收服务经费的4.68%</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本期</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（整体协议期）47.09%</w:t>
      </w:r>
      <w:r>
        <w:rPr>
          <w:rFonts w:ascii="Times New Roman" w:hAnsi="Times New Roman" w:eastAsia="仿宋_GB2312" w:cs="Times New Roman"/>
          <w:sz w:val="28"/>
          <w:szCs w:val="28"/>
        </w:rPr>
        <w:t>。其中：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13,571.71</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67,056.74</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分摊机构人员社保7,200.57</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分摊机构人员公积金4,233.36</w:t>
      </w:r>
      <w:r>
        <w:rPr>
          <w:rFonts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w:t>
      </w:r>
      <w:bookmarkStart w:id="7" w:name="_Hlk116417775"/>
      <w:r>
        <w:rPr>
          <w:rFonts w:ascii="Times New Roman" w:hAnsi="Times New Roman" w:eastAsia="仿宋_GB2312" w:cs="Times New Roman"/>
          <w:sz w:val="28"/>
          <w:szCs w:val="28"/>
        </w:rPr>
        <w:t>分摊机构</w:t>
      </w:r>
      <w:bookmarkEnd w:id="7"/>
      <w:r>
        <w:rPr>
          <w:rFonts w:hint="eastAsia" w:ascii="Times New Roman" w:hAnsi="Times New Roman" w:eastAsia="仿宋_GB2312" w:cs="Times New Roman"/>
          <w:sz w:val="28"/>
          <w:szCs w:val="28"/>
        </w:rPr>
        <w:t>费用20,185.06</w:t>
      </w:r>
      <w:r>
        <w:rPr>
          <w:rFonts w:ascii="Times New Roman" w:hAnsi="Times New Roman" w:eastAsia="仿宋_GB2312" w:cs="Times New Roman"/>
          <w:sz w:val="28"/>
          <w:szCs w:val="28"/>
        </w:rPr>
        <w:t>元。</w:t>
      </w:r>
    </w:p>
    <w:p>
      <w:pPr>
        <w:spacing w:line="620" w:lineRule="exact"/>
        <w:ind w:right="-569" w:rightChars="-271"/>
        <w:outlineLvl w:val="0"/>
        <w:rPr>
          <w:rFonts w:ascii="Times New Roman" w:hAnsi="Times New Roman" w:eastAsia="仿宋"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七、前期经费收、支、结余变化情况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截至报告日，协议期2023年8月</w:t>
      </w:r>
      <w:r>
        <w:rPr>
          <w:rFonts w:hint="eastAsia" w:ascii="Times New Roman" w:hAnsi="Times New Roman" w:eastAsia="仿宋" w:cs="Times New Roman"/>
          <w:sz w:val="28"/>
          <w:szCs w:val="28"/>
        </w:rPr>
        <w:t>15</w:t>
      </w:r>
      <w:r>
        <w:rPr>
          <w:rFonts w:ascii="Times New Roman" w:hAnsi="Times New Roman" w:eastAsia="仿宋" w:cs="Times New Roman"/>
          <w:sz w:val="28"/>
          <w:szCs w:val="28"/>
        </w:rPr>
        <w:t>日至2024年8月</w:t>
      </w:r>
      <w:r>
        <w:rPr>
          <w:rFonts w:hint="eastAsia" w:ascii="Times New Roman" w:hAnsi="Times New Roman" w:eastAsia="仿宋" w:cs="Times New Roman"/>
          <w:sz w:val="28"/>
          <w:szCs w:val="28"/>
        </w:rPr>
        <w:t>14</w:t>
      </w:r>
      <w:r>
        <w:rPr>
          <w:rFonts w:ascii="Times New Roman" w:hAnsi="Times New Roman" w:eastAsia="仿宋" w:cs="Times New Roman"/>
          <w:sz w:val="28"/>
          <w:szCs w:val="28"/>
        </w:rPr>
        <w:t>日的结余资金有发生变动，具体情况如下：</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经评估，本评估期内收到该协议期服务经费200,000.00元，</w:t>
      </w:r>
      <w:r>
        <w:rPr>
          <w:rFonts w:hint="eastAsia" w:ascii="Times New Roman" w:hAnsi="Times New Roman" w:eastAsia="仿宋" w:cs="Times New Roman"/>
          <w:sz w:val="28"/>
          <w:szCs w:val="28"/>
        </w:rPr>
        <w:t>调整归属于该协议期支出</w:t>
      </w:r>
      <w:r>
        <w:rPr>
          <w:rFonts w:ascii="Times New Roman" w:hAnsi="Times New Roman" w:eastAsia="仿宋" w:cs="Times New Roman"/>
          <w:sz w:val="28"/>
          <w:szCs w:val="28"/>
        </w:rPr>
        <w:t>21,600.00元，均为服务质量保障费用</w:t>
      </w:r>
      <w:r>
        <w:rPr>
          <w:rFonts w:hint="eastAsia" w:ascii="Times New Roman" w:hAnsi="Times New Roman" w:eastAsia="仿宋" w:cs="Times New Roman"/>
          <w:sz w:val="28"/>
          <w:szCs w:val="28"/>
        </w:rPr>
        <w:t>（开具该协议期服务经费发票</w:t>
      </w:r>
      <w:r>
        <w:rPr>
          <w:rFonts w:ascii="Times New Roman" w:hAnsi="Times New Roman" w:eastAsia="仿宋" w:cs="Times New Roman"/>
          <w:sz w:val="28"/>
          <w:szCs w:val="28"/>
        </w:rPr>
        <w:t>360,000.00</w:t>
      </w:r>
      <w:r>
        <w:rPr>
          <w:rFonts w:hint="eastAsia" w:ascii="Times New Roman" w:hAnsi="Times New Roman" w:eastAsia="仿宋" w:cs="Times New Roman"/>
          <w:sz w:val="28"/>
          <w:szCs w:val="28"/>
        </w:rPr>
        <w:t>元产生的税费）</w:t>
      </w:r>
      <w:r>
        <w:rPr>
          <w:rFonts w:ascii="Times New Roman" w:hAnsi="Times New Roman" w:eastAsia="仿宋" w:cs="Times New Roman"/>
          <w:sz w:val="28"/>
          <w:szCs w:val="28"/>
        </w:rPr>
        <w:t>，调整后该协议期累计收到服务经费1,520,000.00元，实际累计支出2,368,645.50元，结余资金-848,645.50元（不含未拨入的</w:t>
      </w:r>
      <w:r>
        <w:rPr>
          <w:rFonts w:hint="eastAsia" w:ascii="Times New Roman" w:hAnsi="Times New Roman" w:eastAsia="仿宋" w:cs="Times New Roman"/>
          <w:sz w:val="28"/>
          <w:szCs w:val="28"/>
        </w:rPr>
        <w:t>880</w:t>
      </w:r>
      <w:r>
        <w:rPr>
          <w:rFonts w:ascii="Times New Roman" w:hAnsi="Times New Roman" w:eastAsia="仿宋" w:cs="Times New Roman"/>
          <w:sz w:val="28"/>
          <w:szCs w:val="28"/>
        </w:rPr>
        <w:t>,000.00元）。经评估，该协议期调整后人员费用及服务质量保障费用支出占服务总经费的90.93%，运营管理费用支出占服务总经费的7.77%。</w:t>
      </w:r>
    </w:p>
    <w:p>
      <w:pPr>
        <w:spacing w:line="60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、累计结余情况（20</w:t>
      </w:r>
      <w:r>
        <w:rPr>
          <w:rFonts w:hint="eastAsia" w:ascii="Times New Roman" w:hAnsi="Times New Roman" w:eastAsia="仿宋_GB2312" w:cs="Times New Roman"/>
          <w:b/>
          <w:sz w:val="28"/>
          <w:szCs w:val="28"/>
        </w:rPr>
        <w:t>23</w:t>
      </w:r>
      <w:r>
        <w:rPr>
          <w:rFonts w:ascii="Times New Roman" w:hAnsi="Times New Roman" w:eastAsia="仿宋_GB2312" w:cs="Times New Roman"/>
          <w:b/>
          <w:sz w:val="28"/>
          <w:szCs w:val="28"/>
        </w:rPr>
        <w:t>年8月15日~2025年2月14日）</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5日至2025年2月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4日止，</w:t>
      </w:r>
      <w:r>
        <w:rPr>
          <w:rFonts w:hint="eastAsia" w:ascii="Times New Roman" w:hAnsi="Times New Roman" w:eastAsia="仿宋_GB2312" w:cs="Times New Roman"/>
          <w:sz w:val="28"/>
          <w:szCs w:val="28"/>
        </w:rPr>
        <w:t>南村镇西片</w:t>
      </w:r>
      <w:r>
        <w:rPr>
          <w:rFonts w:ascii="Times New Roman" w:hAnsi="Times New Roman" w:eastAsia="仿宋_GB2312" w:cs="Times New Roman"/>
          <w:sz w:val="28"/>
          <w:szCs w:val="28"/>
        </w:rPr>
        <w:t>社工站服务经费累计结余-2,083,208.51元。具体如下：</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年8月15日至202</w:t>
      </w: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年8月14日为南村镇西片社工站的</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年服务周期，其中：</w:t>
      </w:r>
    </w:p>
    <w:p>
      <w:pPr>
        <w:spacing w:line="600" w:lineRule="exact"/>
        <w:ind w:firstLine="520" w:firstLineChars="200"/>
        <w:rPr>
          <w:rFonts w:ascii="Times New Roman" w:hAnsi="Times New Roman" w:eastAsia="仿宋_GB2312" w:cs="Times New Roman"/>
          <w:spacing w:val="-10"/>
          <w:sz w:val="28"/>
          <w:szCs w:val="28"/>
        </w:rPr>
      </w:pPr>
      <w:r>
        <w:rPr>
          <w:rFonts w:hint="eastAsia" w:ascii="Times New Roman" w:hAnsi="Times New Roman" w:eastAsia="仿宋_GB2312" w:cs="Times New Roman"/>
          <w:spacing w:val="-10"/>
          <w:sz w:val="28"/>
          <w:szCs w:val="28"/>
        </w:rPr>
        <w:t>第一年协议期</w:t>
      </w:r>
      <w:r>
        <w:rPr>
          <w:rFonts w:ascii="Times New Roman" w:hAnsi="Times New Roman" w:eastAsia="仿宋_GB2312" w:cs="Times New Roman"/>
          <w:spacing w:val="-10"/>
          <w:sz w:val="28"/>
          <w:szCs w:val="28"/>
        </w:rPr>
        <w:t>202</w:t>
      </w:r>
      <w:r>
        <w:rPr>
          <w:rFonts w:hint="eastAsia" w:ascii="Times New Roman" w:hAnsi="Times New Roman" w:eastAsia="仿宋_GB2312" w:cs="Times New Roman"/>
          <w:spacing w:val="-10"/>
          <w:sz w:val="28"/>
          <w:szCs w:val="28"/>
        </w:rPr>
        <w:t>3</w:t>
      </w:r>
      <w:r>
        <w:rPr>
          <w:rFonts w:ascii="Times New Roman" w:hAnsi="Times New Roman" w:eastAsia="仿宋_GB2312" w:cs="Times New Roman"/>
          <w:spacing w:val="-10"/>
          <w:sz w:val="28"/>
          <w:szCs w:val="28"/>
        </w:rPr>
        <w:t>年8月15日至20</w:t>
      </w:r>
      <w:r>
        <w:rPr>
          <w:rFonts w:hint="eastAsia" w:ascii="Times New Roman" w:hAnsi="Times New Roman" w:eastAsia="仿宋_GB2312" w:cs="Times New Roman"/>
          <w:spacing w:val="-10"/>
          <w:sz w:val="28"/>
          <w:szCs w:val="28"/>
        </w:rPr>
        <w:t>24</w:t>
      </w:r>
      <w:r>
        <w:rPr>
          <w:rFonts w:ascii="Times New Roman" w:hAnsi="Times New Roman" w:eastAsia="仿宋_GB2312" w:cs="Times New Roman"/>
          <w:spacing w:val="-10"/>
          <w:sz w:val="28"/>
          <w:szCs w:val="28"/>
        </w:rPr>
        <w:t>年</w:t>
      </w:r>
      <w:r>
        <w:rPr>
          <w:rFonts w:hint="eastAsia" w:ascii="Times New Roman" w:hAnsi="Times New Roman" w:eastAsia="仿宋_GB2312" w:cs="Times New Roman"/>
          <w:spacing w:val="-10"/>
          <w:sz w:val="28"/>
          <w:szCs w:val="28"/>
        </w:rPr>
        <w:t>8</w:t>
      </w:r>
      <w:r>
        <w:rPr>
          <w:rFonts w:ascii="Times New Roman" w:hAnsi="Times New Roman" w:eastAsia="仿宋_GB2312" w:cs="Times New Roman"/>
          <w:spacing w:val="-10"/>
          <w:sz w:val="28"/>
          <w:szCs w:val="28"/>
        </w:rPr>
        <w:t>月14日，结余资金-848,645.50</w:t>
      </w:r>
      <w:r>
        <w:rPr>
          <w:rFonts w:hint="eastAsia" w:ascii="Times New Roman" w:hAnsi="Times New Roman" w:eastAsia="仿宋_GB2312" w:cs="Times New Roman"/>
          <w:spacing w:val="-10"/>
          <w:sz w:val="28"/>
          <w:szCs w:val="28"/>
        </w:rPr>
        <w:t>元</w:t>
      </w:r>
      <w:r>
        <w:rPr>
          <w:rFonts w:ascii="Times New Roman" w:hAnsi="Times New Roman" w:eastAsia="仿宋_GB2312" w:cs="Times New Roman"/>
          <w:spacing w:val="-10"/>
          <w:sz w:val="28"/>
          <w:szCs w:val="28"/>
        </w:rPr>
        <w:t>。</w:t>
      </w:r>
    </w:p>
    <w:p>
      <w:pPr>
        <w:spacing w:line="620" w:lineRule="exact"/>
        <w:ind w:firstLine="528" w:firstLineChars="200"/>
        <w:rPr>
          <w:rFonts w:ascii="Times New Roman" w:hAnsi="Times New Roman" w:eastAsia="仿宋" w:cs="Times New Roman"/>
          <w:color w:val="000000" w:themeColor="text1"/>
          <w:spacing w:val="-8"/>
          <w:sz w:val="28"/>
          <w:szCs w:val="28"/>
          <w14:textFill>
            <w14:solidFill>
              <w14:schemeClr w14:val="tx1"/>
            </w14:solidFill>
          </w14:textFill>
        </w:rPr>
      </w:pPr>
      <w:r>
        <w:rPr>
          <w:rFonts w:ascii="Times New Roman" w:hAnsi="Times New Roman" w:eastAsia="仿宋" w:cs="Times New Roman"/>
          <w:color w:val="000000" w:themeColor="text1"/>
          <w:spacing w:val="-8"/>
          <w:sz w:val="28"/>
          <w:szCs w:val="28"/>
          <w14:textFill>
            <w14:solidFill>
              <w14:schemeClr w14:val="tx1"/>
            </w14:solidFill>
          </w14:textFill>
        </w:rPr>
        <w:t>本评估期2024年</w:t>
      </w:r>
      <w:r>
        <w:rPr>
          <w:rFonts w:ascii="Times New Roman" w:hAnsi="Times New Roman" w:eastAsia="仿宋_GB2312" w:cs="Times New Roman"/>
          <w:spacing w:val="-4"/>
          <w:sz w:val="28"/>
          <w:szCs w:val="28"/>
        </w:rPr>
        <w:t>8月15日</w:t>
      </w:r>
      <w:r>
        <w:rPr>
          <w:rFonts w:ascii="Times New Roman" w:hAnsi="Times New Roman" w:eastAsia="仿宋" w:cs="Times New Roman"/>
          <w:color w:val="000000" w:themeColor="text1"/>
          <w:spacing w:val="-8"/>
          <w:sz w:val="28"/>
          <w:szCs w:val="28"/>
          <w14:textFill>
            <w14:solidFill>
              <w14:schemeClr w14:val="tx1"/>
            </w14:solidFill>
          </w14:textFill>
        </w:rPr>
        <w:t>至20</w:t>
      </w:r>
      <w:r>
        <w:rPr>
          <w:rFonts w:hint="eastAsia" w:ascii="Times New Roman" w:hAnsi="Times New Roman" w:eastAsia="仿宋" w:cs="Times New Roman"/>
          <w:color w:val="000000" w:themeColor="text1"/>
          <w:spacing w:val="-8"/>
          <w:sz w:val="28"/>
          <w:szCs w:val="28"/>
          <w14:textFill>
            <w14:solidFill>
              <w14:schemeClr w14:val="tx1"/>
            </w14:solidFill>
          </w14:textFill>
        </w:rPr>
        <w:t>25</w:t>
      </w:r>
      <w:r>
        <w:rPr>
          <w:rFonts w:ascii="Times New Roman" w:hAnsi="Times New Roman" w:eastAsia="仿宋" w:cs="Times New Roman"/>
          <w:color w:val="000000" w:themeColor="text1"/>
          <w:spacing w:val="-8"/>
          <w:sz w:val="28"/>
          <w:szCs w:val="28"/>
          <w14:textFill>
            <w14:solidFill>
              <w14:schemeClr w14:val="tx1"/>
            </w14:solidFill>
          </w14:textFill>
        </w:rPr>
        <w:t>年</w:t>
      </w:r>
      <w:r>
        <w:rPr>
          <w:rFonts w:hint="eastAsia" w:ascii="Times New Roman" w:hAnsi="Times New Roman" w:eastAsia="仿宋" w:cs="Times New Roman"/>
          <w:color w:val="000000" w:themeColor="text1"/>
          <w:spacing w:val="-8"/>
          <w:sz w:val="28"/>
          <w:szCs w:val="28"/>
          <w14:textFill>
            <w14:solidFill>
              <w14:schemeClr w14:val="tx1"/>
            </w14:solidFill>
          </w14:textFill>
        </w:rPr>
        <w:t>2</w:t>
      </w:r>
      <w:r>
        <w:rPr>
          <w:rFonts w:ascii="Times New Roman" w:hAnsi="Times New Roman" w:eastAsia="仿宋" w:cs="Times New Roman"/>
          <w:color w:val="000000" w:themeColor="text1"/>
          <w:spacing w:val="-8"/>
          <w:sz w:val="28"/>
          <w:szCs w:val="28"/>
          <w14:textFill>
            <w14:solidFill>
              <w14:schemeClr w14:val="tx1"/>
            </w14:solidFill>
          </w14:textFill>
        </w:rPr>
        <w:t>月</w:t>
      </w:r>
      <w:r>
        <w:rPr>
          <w:rFonts w:hint="eastAsia" w:ascii="Times New Roman" w:hAnsi="Times New Roman" w:eastAsia="仿宋" w:cs="Times New Roman"/>
          <w:color w:val="000000" w:themeColor="text1"/>
          <w:spacing w:val="-8"/>
          <w:sz w:val="28"/>
          <w:szCs w:val="28"/>
          <w14:textFill>
            <w14:solidFill>
              <w14:schemeClr w14:val="tx1"/>
            </w14:solidFill>
          </w14:textFill>
        </w:rPr>
        <w:t>14</w:t>
      </w:r>
      <w:r>
        <w:rPr>
          <w:rFonts w:ascii="Times New Roman" w:hAnsi="Times New Roman" w:eastAsia="仿宋" w:cs="Times New Roman"/>
          <w:color w:val="000000" w:themeColor="text1"/>
          <w:spacing w:val="-8"/>
          <w:sz w:val="28"/>
          <w:szCs w:val="28"/>
          <w14:textFill>
            <w14:solidFill>
              <w14:schemeClr w14:val="tx1"/>
            </w14:solidFill>
          </w14:textFill>
        </w:rPr>
        <w:t>日，结余资金-1,234,563.01元。</w:t>
      </w:r>
    </w:p>
    <w:p>
      <w:pPr>
        <w:spacing w:line="60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八、评估结论</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广州市番禺区南村镇西片社工服务站</w:t>
      </w:r>
      <w:r>
        <w:rPr>
          <w:rFonts w:ascii="Times New Roman" w:hAnsi="Times New Roman" w:eastAsia="仿宋_GB2312" w:cs="Times New Roman"/>
          <w:sz w:val="28"/>
          <w:szCs w:val="28"/>
        </w:rPr>
        <w:t>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、其他事项</w:t>
      </w:r>
    </w:p>
    <w:p>
      <w:pPr>
        <w:spacing w:line="60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color w:val="000000" w:themeColor="text1"/>
          <w:spacing w:val="-4"/>
          <w:sz w:val="28"/>
          <w:szCs w:val="28"/>
          <w14:textFill>
            <w14:solidFill>
              <w14:schemeClr w14:val="tx1"/>
            </w14:solidFill>
          </w14:textFill>
        </w:rPr>
        <w:t>本报告仅供本次委托目的，即对南村镇西片社工站财务评估使用，本事务所及本注册会计师不对运用本报告于其他目的造成的经济后果负责。</w:t>
      </w:r>
    </w:p>
    <w:p>
      <w:pPr>
        <w:spacing w:line="600" w:lineRule="exact"/>
        <w:rPr>
          <w:rFonts w:ascii="Times New Roman" w:hAnsi="Times New Roman" w:eastAsia="仿宋_GB2312" w:cs="Times New Roman"/>
          <w:sz w:val="28"/>
          <w:szCs w:val="28"/>
        </w:rPr>
      </w:pPr>
    </w:p>
    <w:p>
      <w:pPr>
        <w:spacing w:line="600" w:lineRule="exact"/>
        <w:ind w:left="850" w:leftChars="405"/>
        <w:rPr>
          <w:rFonts w:hint="eastAsia"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二十二</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CC9"/>
    <w:rsid w:val="0000408A"/>
    <w:rsid w:val="00011264"/>
    <w:rsid w:val="0001396F"/>
    <w:rsid w:val="0002755A"/>
    <w:rsid w:val="000317CE"/>
    <w:rsid w:val="00041B6A"/>
    <w:rsid w:val="00043872"/>
    <w:rsid w:val="000456F4"/>
    <w:rsid w:val="00055B05"/>
    <w:rsid w:val="0006463F"/>
    <w:rsid w:val="00064B63"/>
    <w:rsid w:val="00065A6C"/>
    <w:rsid w:val="0007191F"/>
    <w:rsid w:val="00071FB1"/>
    <w:rsid w:val="00072914"/>
    <w:rsid w:val="00086152"/>
    <w:rsid w:val="00097DB9"/>
    <w:rsid w:val="000B5517"/>
    <w:rsid w:val="000B5D8E"/>
    <w:rsid w:val="000B62CD"/>
    <w:rsid w:val="000C0A2A"/>
    <w:rsid w:val="000D7E47"/>
    <w:rsid w:val="000F0440"/>
    <w:rsid w:val="00102433"/>
    <w:rsid w:val="00110769"/>
    <w:rsid w:val="00116AFE"/>
    <w:rsid w:val="0012230B"/>
    <w:rsid w:val="00131D7E"/>
    <w:rsid w:val="00132A6B"/>
    <w:rsid w:val="00133E77"/>
    <w:rsid w:val="00134A5F"/>
    <w:rsid w:val="001370D5"/>
    <w:rsid w:val="00141B82"/>
    <w:rsid w:val="001524AE"/>
    <w:rsid w:val="0015779A"/>
    <w:rsid w:val="0016124C"/>
    <w:rsid w:val="00164A3C"/>
    <w:rsid w:val="00164A86"/>
    <w:rsid w:val="0016508D"/>
    <w:rsid w:val="00171040"/>
    <w:rsid w:val="00172280"/>
    <w:rsid w:val="0017382F"/>
    <w:rsid w:val="001747D2"/>
    <w:rsid w:val="001839F4"/>
    <w:rsid w:val="00185C33"/>
    <w:rsid w:val="00191F3C"/>
    <w:rsid w:val="001973EB"/>
    <w:rsid w:val="001A70D8"/>
    <w:rsid w:val="001A795B"/>
    <w:rsid w:val="001B0C80"/>
    <w:rsid w:val="001E0431"/>
    <w:rsid w:val="001E2299"/>
    <w:rsid w:val="001E6903"/>
    <w:rsid w:val="001F6520"/>
    <w:rsid w:val="00200AB0"/>
    <w:rsid w:val="002046F9"/>
    <w:rsid w:val="002146CD"/>
    <w:rsid w:val="00222200"/>
    <w:rsid w:val="002247D4"/>
    <w:rsid w:val="00225676"/>
    <w:rsid w:val="00237B72"/>
    <w:rsid w:val="00256E3D"/>
    <w:rsid w:val="00262365"/>
    <w:rsid w:val="002626C2"/>
    <w:rsid w:val="00265F2A"/>
    <w:rsid w:val="00273696"/>
    <w:rsid w:val="00273BCE"/>
    <w:rsid w:val="002868E8"/>
    <w:rsid w:val="002A000C"/>
    <w:rsid w:val="002A1692"/>
    <w:rsid w:val="002A7C06"/>
    <w:rsid w:val="002C6261"/>
    <w:rsid w:val="002D05A8"/>
    <w:rsid w:val="002D3986"/>
    <w:rsid w:val="002E00A9"/>
    <w:rsid w:val="002E0308"/>
    <w:rsid w:val="002E1BD7"/>
    <w:rsid w:val="002E2A02"/>
    <w:rsid w:val="002E4330"/>
    <w:rsid w:val="002F08AB"/>
    <w:rsid w:val="002F43BA"/>
    <w:rsid w:val="0030480B"/>
    <w:rsid w:val="0030717C"/>
    <w:rsid w:val="00312000"/>
    <w:rsid w:val="00320F91"/>
    <w:rsid w:val="00323877"/>
    <w:rsid w:val="0032571D"/>
    <w:rsid w:val="003318A3"/>
    <w:rsid w:val="00331E74"/>
    <w:rsid w:val="003329F7"/>
    <w:rsid w:val="00343DCB"/>
    <w:rsid w:val="00344B95"/>
    <w:rsid w:val="0035269F"/>
    <w:rsid w:val="00374A71"/>
    <w:rsid w:val="00387479"/>
    <w:rsid w:val="0039097A"/>
    <w:rsid w:val="00397A36"/>
    <w:rsid w:val="003B724D"/>
    <w:rsid w:val="003C520E"/>
    <w:rsid w:val="003C5C85"/>
    <w:rsid w:val="003D6963"/>
    <w:rsid w:val="003E56B4"/>
    <w:rsid w:val="003E7326"/>
    <w:rsid w:val="003E7701"/>
    <w:rsid w:val="003F2D93"/>
    <w:rsid w:val="003F5E00"/>
    <w:rsid w:val="00400171"/>
    <w:rsid w:val="004073F8"/>
    <w:rsid w:val="0041109A"/>
    <w:rsid w:val="00415C4F"/>
    <w:rsid w:val="00417C33"/>
    <w:rsid w:val="0043014F"/>
    <w:rsid w:val="004356BB"/>
    <w:rsid w:val="00441B0C"/>
    <w:rsid w:val="00446547"/>
    <w:rsid w:val="00450BB6"/>
    <w:rsid w:val="00456A81"/>
    <w:rsid w:val="00467250"/>
    <w:rsid w:val="00467F29"/>
    <w:rsid w:val="004727E9"/>
    <w:rsid w:val="00473792"/>
    <w:rsid w:val="00476D9A"/>
    <w:rsid w:val="00481251"/>
    <w:rsid w:val="004B2146"/>
    <w:rsid w:val="004B266C"/>
    <w:rsid w:val="004B523D"/>
    <w:rsid w:val="004B69E8"/>
    <w:rsid w:val="004B7044"/>
    <w:rsid w:val="004C2255"/>
    <w:rsid w:val="004C6CE1"/>
    <w:rsid w:val="004D6846"/>
    <w:rsid w:val="004E0162"/>
    <w:rsid w:val="004E08C2"/>
    <w:rsid w:val="004E2951"/>
    <w:rsid w:val="0050140C"/>
    <w:rsid w:val="005030FC"/>
    <w:rsid w:val="00510E05"/>
    <w:rsid w:val="00516189"/>
    <w:rsid w:val="00521B04"/>
    <w:rsid w:val="00525CAD"/>
    <w:rsid w:val="0052650D"/>
    <w:rsid w:val="0052700D"/>
    <w:rsid w:val="005442C3"/>
    <w:rsid w:val="0054626A"/>
    <w:rsid w:val="00546E36"/>
    <w:rsid w:val="00550020"/>
    <w:rsid w:val="00550D9E"/>
    <w:rsid w:val="0055514B"/>
    <w:rsid w:val="00556F42"/>
    <w:rsid w:val="005576ED"/>
    <w:rsid w:val="00563632"/>
    <w:rsid w:val="005708A7"/>
    <w:rsid w:val="00572760"/>
    <w:rsid w:val="0057312B"/>
    <w:rsid w:val="00573AB0"/>
    <w:rsid w:val="00573EF1"/>
    <w:rsid w:val="00583524"/>
    <w:rsid w:val="005855F9"/>
    <w:rsid w:val="00592B35"/>
    <w:rsid w:val="00594D45"/>
    <w:rsid w:val="005978DA"/>
    <w:rsid w:val="005A4E38"/>
    <w:rsid w:val="005B1BE8"/>
    <w:rsid w:val="005C6036"/>
    <w:rsid w:val="005C6C0F"/>
    <w:rsid w:val="005C7A89"/>
    <w:rsid w:val="005C7CB0"/>
    <w:rsid w:val="005D12C0"/>
    <w:rsid w:val="005E06D8"/>
    <w:rsid w:val="005E48DD"/>
    <w:rsid w:val="005F164C"/>
    <w:rsid w:val="005F35CE"/>
    <w:rsid w:val="005F52F8"/>
    <w:rsid w:val="005F5FE2"/>
    <w:rsid w:val="005F6D4D"/>
    <w:rsid w:val="005F74CF"/>
    <w:rsid w:val="00602725"/>
    <w:rsid w:val="00610693"/>
    <w:rsid w:val="00625937"/>
    <w:rsid w:val="00632C66"/>
    <w:rsid w:val="00636218"/>
    <w:rsid w:val="006450A8"/>
    <w:rsid w:val="0064720D"/>
    <w:rsid w:val="00655B2F"/>
    <w:rsid w:val="00675A60"/>
    <w:rsid w:val="00682678"/>
    <w:rsid w:val="00683341"/>
    <w:rsid w:val="006845F1"/>
    <w:rsid w:val="00684FAA"/>
    <w:rsid w:val="00692A32"/>
    <w:rsid w:val="00696135"/>
    <w:rsid w:val="006A2715"/>
    <w:rsid w:val="006A5A38"/>
    <w:rsid w:val="006A7C18"/>
    <w:rsid w:val="006B0BCE"/>
    <w:rsid w:val="006B1419"/>
    <w:rsid w:val="006C489D"/>
    <w:rsid w:val="006D0434"/>
    <w:rsid w:val="006D1191"/>
    <w:rsid w:val="006D4950"/>
    <w:rsid w:val="006E21E8"/>
    <w:rsid w:val="006E4926"/>
    <w:rsid w:val="006F3914"/>
    <w:rsid w:val="007032DF"/>
    <w:rsid w:val="0070572C"/>
    <w:rsid w:val="00710A61"/>
    <w:rsid w:val="007173BB"/>
    <w:rsid w:val="007340D0"/>
    <w:rsid w:val="0073489C"/>
    <w:rsid w:val="0074347B"/>
    <w:rsid w:val="00745A2F"/>
    <w:rsid w:val="00746338"/>
    <w:rsid w:val="00747433"/>
    <w:rsid w:val="0075737E"/>
    <w:rsid w:val="00767EEF"/>
    <w:rsid w:val="00771D21"/>
    <w:rsid w:val="007827B3"/>
    <w:rsid w:val="007926ED"/>
    <w:rsid w:val="007927E1"/>
    <w:rsid w:val="007A047D"/>
    <w:rsid w:val="007A50C4"/>
    <w:rsid w:val="007A5A98"/>
    <w:rsid w:val="007B5343"/>
    <w:rsid w:val="007B7796"/>
    <w:rsid w:val="007C082D"/>
    <w:rsid w:val="007D7166"/>
    <w:rsid w:val="007E372B"/>
    <w:rsid w:val="0080471D"/>
    <w:rsid w:val="0080529B"/>
    <w:rsid w:val="00807BA7"/>
    <w:rsid w:val="00807BE3"/>
    <w:rsid w:val="00810A07"/>
    <w:rsid w:val="00824AE7"/>
    <w:rsid w:val="008321FE"/>
    <w:rsid w:val="00843785"/>
    <w:rsid w:val="008443BD"/>
    <w:rsid w:val="008501D5"/>
    <w:rsid w:val="00852D37"/>
    <w:rsid w:val="00852F92"/>
    <w:rsid w:val="00855127"/>
    <w:rsid w:val="00856883"/>
    <w:rsid w:val="0086051F"/>
    <w:rsid w:val="00863D12"/>
    <w:rsid w:val="00876894"/>
    <w:rsid w:val="00883C29"/>
    <w:rsid w:val="008942DD"/>
    <w:rsid w:val="00896102"/>
    <w:rsid w:val="00897C30"/>
    <w:rsid w:val="00897D40"/>
    <w:rsid w:val="008A2A7D"/>
    <w:rsid w:val="008A44BD"/>
    <w:rsid w:val="008A5ADF"/>
    <w:rsid w:val="008B7EF7"/>
    <w:rsid w:val="008C3543"/>
    <w:rsid w:val="008C56DE"/>
    <w:rsid w:val="008C7615"/>
    <w:rsid w:val="008C7B77"/>
    <w:rsid w:val="008D477E"/>
    <w:rsid w:val="008D549A"/>
    <w:rsid w:val="008E14CF"/>
    <w:rsid w:val="008E3F36"/>
    <w:rsid w:val="008E6127"/>
    <w:rsid w:val="009005D9"/>
    <w:rsid w:val="00901230"/>
    <w:rsid w:val="00903490"/>
    <w:rsid w:val="00905374"/>
    <w:rsid w:val="009064EB"/>
    <w:rsid w:val="00926A47"/>
    <w:rsid w:val="009309A5"/>
    <w:rsid w:val="00933CB6"/>
    <w:rsid w:val="009367AD"/>
    <w:rsid w:val="0094449E"/>
    <w:rsid w:val="00952099"/>
    <w:rsid w:val="00953A03"/>
    <w:rsid w:val="0095423D"/>
    <w:rsid w:val="00954BA9"/>
    <w:rsid w:val="0095703D"/>
    <w:rsid w:val="009613FE"/>
    <w:rsid w:val="0096190D"/>
    <w:rsid w:val="00971F7B"/>
    <w:rsid w:val="009759AE"/>
    <w:rsid w:val="00993572"/>
    <w:rsid w:val="0099451A"/>
    <w:rsid w:val="00997BCF"/>
    <w:rsid w:val="009A0C80"/>
    <w:rsid w:val="009A2387"/>
    <w:rsid w:val="009A7747"/>
    <w:rsid w:val="009C3790"/>
    <w:rsid w:val="009C6946"/>
    <w:rsid w:val="00A02EAF"/>
    <w:rsid w:val="00A05242"/>
    <w:rsid w:val="00A10308"/>
    <w:rsid w:val="00A15DDD"/>
    <w:rsid w:val="00A21C64"/>
    <w:rsid w:val="00A4119A"/>
    <w:rsid w:val="00A411C8"/>
    <w:rsid w:val="00A43D5E"/>
    <w:rsid w:val="00A44649"/>
    <w:rsid w:val="00A52158"/>
    <w:rsid w:val="00A67D24"/>
    <w:rsid w:val="00A71F51"/>
    <w:rsid w:val="00A7659E"/>
    <w:rsid w:val="00A81DCB"/>
    <w:rsid w:val="00A90B0C"/>
    <w:rsid w:val="00A9361A"/>
    <w:rsid w:val="00A94714"/>
    <w:rsid w:val="00AA275E"/>
    <w:rsid w:val="00AA681D"/>
    <w:rsid w:val="00AB7B6E"/>
    <w:rsid w:val="00AC58BD"/>
    <w:rsid w:val="00AC65FD"/>
    <w:rsid w:val="00AD7854"/>
    <w:rsid w:val="00AE18D0"/>
    <w:rsid w:val="00AE258D"/>
    <w:rsid w:val="00AE285D"/>
    <w:rsid w:val="00AE3E25"/>
    <w:rsid w:val="00AF0139"/>
    <w:rsid w:val="00AF3EC7"/>
    <w:rsid w:val="00B15715"/>
    <w:rsid w:val="00B16EC7"/>
    <w:rsid w:val="00B234FC"/>
    <w:rsid w:val="00B27A0F"/>
    <w:rsid w:val="00B31D27"/>
    <w:rsid w:val="00B3292D"/>
    <w:rsid w:val="00B41E70"/>
    <w:rsid w:val="00B45DD2"/>
    <w:rsid w:val="00B45FAC"/>
    <w:rsid w:val="00B47376"/>
    <w:rsid w:val="00B55A3F"/>
    <w:rsid w:val="00B61767"/>
    <w:rsid w:val="00B634BC"/>
    <w:rsid w:val="00B63E4B"/>
    <w:rsid w:val="00B66EF3"/>
    <w:rsid w:val="00B67620"/>
    <w:rsid w:val="00B73D8A"/>
    <w:rsid w:val="00B86605"/>
    <w:rsid w:val="00B94C44"/>
    <w:rsid w:val="00BA4475"/>
    <w:rsid w:val="00BA44ED"/>
    <w:rsid w:val="00BA500F"/>
    <w:rsid w:val="00BC27F3"/>
    <w:rsid w:val="00BC46BE"/>
    <w:rsid w:val="00BC7ED9"/>
    <w:rsid w:val="00BD2F47"/>
    <w:rsid w:val="00BD5644"/>
    <w:rsid w:val="00BE22A5"/>
    <w:rsid w:val="00BE37CD"/>
    <w:rsid w:val="00BE4354"/>
    <w:rsid w:val="00BE4B22"/>
    <w:rsid w:val="00BE514B"/>
    <w:rsid w:val="00C03042"/>
    <w:rsid w:val="00C033D6"/>
    <w:rsid w:val="00C05FCA"/>
    <w:rsid w:val="00C10945"/>
    <w:rsid w:val="00C10D35"/>
    <w:rsid w:val="00C2086D"/>
    <w:rsid w:val="00C22583"/>
    <w:rsid w:val="00C41DD8"/>
    <w:rsid w:val="00C46491"/>
    <w:rsid w:val="00C50F29"/>
    <w:rsid w:val="00C56615"/>
    <w:rsid w:val="00C62630"/>
    <w:rsid w:val="00C802F7"/>
    <w:rsid w:val="00C81C71"/>
    <w:rsid w:val="00C82843"/>
    <w:rsid w:val="00C93A79"/>
    <w:rsid w:val="00CC094B"/>
    <w:rsid w:val="00CC7FE9"/>
    <w:rsid w:val="00CD2143"/>
    <w:rsid w:val="00CD408C"/>
    <w:rsid w:val="00CD60B2"/>
    <w:rsid w:val="00CD62D5"/>
    <w:rsid w:val="00CE08B9"/>
    <w:rsid w:val="00CF4034"/>
    <w:rsid w:val="00CF688E"/>
    <w:rsid w:val="00D01159"/>
    <w:rsid w:val="00D0409C"/>
    <w:rsid w:val="00D10308"/>
    <w:rsid w:val="00D11CA2"/>
    <w:rsid w:val="00D144A2"/>
    <w:rsid w:val="00D1483D"/>
    <w:rsid w:val="00D20E02"/>
    <w:rsid w:val="00D21D72"/>
    <w:rsid w:val="00D2209F"/>
    <w:rsid w:val="00D22C6A"/>
    <w:rsid w:val="00D24776"/>
    <w:rsid w:val="00D275F8"/>
    <w:rsid w:val="00D32C3A"/>
    <w:rsid w:val="00D348FD"/>
    <w:rsid w:val="00D36F78"/>
    <w:rsid w:val="00D40ACE"/>
    <w:rsid w:val="00D43332"/>
    <w:rsid w:val="00D44BFD"/>
    <w:rsid w:val="00D44D50"/>
    <w:rsid w:val="00D47C2A"/>
    <w:rsid w:val="00D51A02"/>
    <w:rsid w:val="00D5690B"/>
    <w:rsid w:val="00D63475"/>
    <w:rsid w:val="00D752C9"/>
    <w:rsid w:val="00D76704"/>
    <w:rsid w:val="00D8114D"/>
    <w:rsid w:val="00D82197"/>
    <w:rsid w:val="00D86161"/>
    <w:rsid w:val="00D867E3"/>
    <w:rsid w:val="00D93807"/>
    <w:rsid w:val="00D945A2"/>
    <w:rsid w:val="00D97736"/>
    <w:rsid w:val="00DA218A"/>
    <w:rsid w:val="00DB02C4"/>
    <w:rsid w:val="00DB1528"/>
    <w:rsid w:val="00DD1165"/>
    <w:rsid w:val="00DD4EA7"/>
    <w:rsid w:val="00DE2776"/>
    <w:rsid w:val="00DE38B1"/>
    <w:rsid w:val="00DE69C7"/>
    <w:rsid w:val="00E1694E"/>
    <w:rsid w:val="00E2003F"/>
    <w:rsid w:val="00E21B1D"/>
    <w:rsid w:val="00E22F65"/>
    <w:rsid w:val="00E2471E"/>
    <w:rsid w:val="00E27762"/>
    <w:rsid w:val="00E31E66"/>
    <w:rsid w:val="00E370F4"/>
    <w:rsid w:val="00E42764"/>
    <w:rsid w:val="00E54144"/>
    <w:rsid w:val="00E5741F"/>
    <w:rsid w:val="00E57618"/>
    <w:rsid w:val="00E57C7F"/>
    <w:rsid w:val="00E63CCD"/>
    <w:rsid w:val="00E70D75"/>
    <w:rsid w:val="00E728DD"/>
    <w:rsid w:val="00E72E37"/>
    <w:rsid w:val="00E86E25"/>
    <w:rsid w:val="00E92EEF"/>
    <w:rsid w:val="00EA6F18"/>
    <w:rsid w:val="00EA7203"/>
    <w:rsid w:val="00EC0150"/>
    <w:rsid w:val="00EC0A2B"/>
    <w:rsid w:val="00EC14AF"/>
    <w:rsid w:val="00EC3B64"/>
    <w:rsid w:val="00EC54BC"/>
    <w:rsid w:val="00ED03C6"/>
    <w:rsid w:val="00ED03D7"/>
    <w:rsid w:val="00EF35A0"/>
    <w:rsid w:val="00EF4F4B"/>
    <w:rsid w:val="00EF7ACF"/>
    <w:rsid w:val="00F04AEC"/>
    <w:rsid w:val="00F055B8"/>
    <w:rsid w:val="00F12621"/>
    <w:rsid w:val="00F14556"/>
    <w:rsid w:val="00F1624D"/>
    <w:rsid w:val="00F20C55"/>
    <w:rsid w:val="00F23A59"/>
    <w:rsid w:val="00F25686"/>
    <w:rsid w:val="00F279A9"/>
    <w:rsid w:val="00F279E8"/>
    <w:rsid w:val="00F31B05"/>
    <w:rsid w:val="00F36B85"/>
    <w:rsid w:val="00F549A2"/>
    <w:rsid w:val="00F66AC5"/>
    <w:rsid w:val="00F673A1"/>
    <w:rsid w:val="00F779B6"/>
    <w:rsid w:val="00F801CF"/>
    <w:rsid w:val="00F82D47"/>
    <w:rsid w:val="00F847B4"/>
    <w:rsid w:val="00F9631C"/>
    <w:rsid w:val="00FA1C78"/>
    <w:rsid w:val="00FA26C0"/>
    <w:rsid w:val="00FB6DAA"/>
    <w:rsid w:val="00FC0543"/>
    <w:rsid w:val="00FD3E88"/>
    <w:rsid w:val="00FD45C2"/>
    <w:rsid w:val="00FE3173"/>
    <w:rsid w:val="00FF0E1A"/>
    <w:rsid w:val="00FF27B5"/>
    <w:rsid w:val="00FF5841"/>
    <w:rsid w:val="1A302E1C"/>
    <w:rsid w:val="27572731"/>
    <w:rsid w:val="37647A49"/>
    <w:rsid w:val="3ACC7DDF"/>
    <w:rsid w:val="447D0DE7"/>
    <w:rsid w:val="702A63B1"/>
    <w:rsid w:val="76E7C6AA"/>
    <w:rsid w:val="7E680911"/>
    <w:rsid w:val="BFFD3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708</Words>
  <Characters>4041</Characters>
  <Lines>33</Lines>
  <Paragraphs>9</Paragraphs>
  <TotalTime>574</TotalTime>
  <ScaleCrop>false</ScaleCrop>
  <LinksUpToDate>false</LinksUpToDate>
  <CharactersWithSpaces>4740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2022-09-20T19:38:00Z</dcterms:created>
  <dc:creator>Dumpling</dc:creator>
  <cp:lastModifiedBy>Administrator</cp:lastModifiedBy>
  <cp:lastPrinted>2025-04-19T00:33:00Z</cp:lastPrinted>
  <dcterms:modified xsi:type="dcterms:W3CDTF">2025-06-10T03:13:50Z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2695D4B8516A438098C41C184C663FF8</vt:lpwstr>
  </property>
  <property fmtid="{D5CDD505-2E9C-101B-9397-08002B2CF9AE}" pid="4" name="KSOTemplateDocerSaveRecord">
    <vt:lpwstr>eyJoZGlkIjoiZGVhOWNjNTVmMjhmZDI1MDNiNmIxODU0OGFhMWExYTEiLCJ1c2VySWQiOiI0MTE3NjgwOTUifQ==</vt:lpwstr>
  </property>
</Properties>
</file>