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1D5A22">
      <w:pPr>
        <w:pStyle w:val="10"/>
        <w:keepNext/>
        <w:keepLines/>
        <w:spacing w:before="0" w:after="0" w:line="560" w:lineRule="exact"/>
        <w:rPr>
          <w:rFonts w:ascii="方正小标宋简体" w:eastAsia="方正小标宋简体"/>
          <w:color w:val="auto"/>
          <w:lang w:val="en-US"/>
        </w:rPr>
      </w:pPr>
      <w:bookmarkStart w:id="0" w:name="bookmark1"/>
      <w:bookmarkStart w:id="1" w:name="bookmark0"/>
      <w:bookmarkStart w:id="2" w:name="bookmark2"/>
      <w:bookmarkStart w:id="43" w:name="_GoBack"/>
      <w:bookmarkEnd w:id="43"/>
    </w:p>
    <w:p w14:paraId="0C6BE86E">
      <w:pPr>
        <w:pStyle w:val="10"/>
        <w:keepNext/>
        <w:keepLines/>
        <w:spacing w:before="0" w:after="0" w:line="560" w:lineRule="exact"/>
        <w:rPr>
          <w:rFonts w:ascii="方正小标宋简体" w:eastAsia="PMingLiU"/>
          <w:color w:val="auto"/>
          <w:lang w:val="en-US"/>
        </w:rPr>
      </w:pPr>
    </w:p>
    <w:p w14:paraId="7D912615">
      <w:pPr>
        <w:pStyle w:val="10"/>
        <w:keepNext/>
        <w:keepLines/>
        <w:spacing w:before="0" w:after="0" w:line="560" w:lineRule="exact"/>
        <w:rPr>
          <w:rFonts w:ascii="方正小标宋简体" w:eastAsia="PMingLiU"/>
          <w:color w:val="auto"/>
          <w:lang w:val="en-US"/>
        </w:rPr>
      </w:pPr>
    </w:p>
    <w:p w14:paraId="020798EC">
      <w:pPr>
        <w:pStyle w:val="10"/>
        <w:keepNext/>
        <w:keepLines/>
        <w:spacing w:before="0" w:after="0" w:line="560" w:lineRule="exact"/>
        <w:rPr>
          <w:rFonts w:ascii="方正小标宋简体" w:eastAsia="方正小标宋简体"/>
          <w:b/>
          <w:bCs/>
          <w:color w:val="auto"/>
          <w:sz w:val="44"/>
          <w:szCs w:val="44"/>
        </w:rPr>
      </w:pPr>
      <w:r>
        <w:rPr>
          <w:rFonts w:hint="eastAsia" w:ascii="方正小标宋简体" w:eastAsia="方正小标宋简体"/>
          <w:b/>
          <w:bCs/>
          <w:color w:val="auto"/>
          <w:sz w:val="44"/>
          <w:szCs w:val="44"/>
          <w:lang w:val="en-US" w:eastAsia="zh-CN"/>
        </w:rPr>
        <w:t>南村镇西片</w:t>
      </w:r>
      <w:r>
        <w:rPr>
          <w:rFonts w:hint="eastAsia" w:ascii="方正小标宋简体" w:eastAsia="方正小标宋简体"/>
          <w:b/>
          <w:bCs/>
          <w:color w:val="auto"/>
          <w:sz w:val="44"/>
          <w:szCs w:val="44"/>
          <w:lang w:val="en-US"/>
        </w:rPr>
        <w:t>社工</w:t>
      </w:r>
      <w:r>
        <w:rPr>
          <w:rFonts w:hint="eastAsia" w:ascii="方正小标宋简体" w:eastAsia="方正小标宋简体"/>
          <w:b/>
          <w:bCs/>
          <w:color w:val="auto"/>
          <w:sz w:val="44"/>
          <w:szCs w:val="44"/>
        </w:rPr>
        <w:t>服务站</w:t>
      </w:r>
      <w:r>
        <w:rPr>
          <w:rFonts w:hint="eastAsia" w:ascii="方正小标宋简体" w:eastAsia="方正小标宋简体"/>
          <w:b/>
          <w:bCs/>
          <w:color w:val="auto"/>
          <w:sz w:val="44"/>
          <w:szCs w:val="44"/>
          <w:lang w:eastAsia="zh-CN"/>
        </w:rPr>
        <w:t>末期</w:t>
      </w:r>
      <w:r>
        <w:rPr>
          <w:rFonts w:hint="eastAsia" w:ascii="方正小标宋简体" w:eastAsia="方正小标宋简体"/>
          <w:b/>
          <w:bCs/>
          <w:color w:val="auto"/>
          <w:sz w:val="44"/>
          <w:szCs w:val="44"/>
        </w:rPr>
        <w:t>评估报告</w:t>
      </w:r>
      <w:bookmarkEnd w:id="0"/>
      <w:bookmarkEnd w:id="1"/>
      <w:bookmarkEnd w:id="2"/>
    </w:p>
    <w:p w14:paraId="1C5BB4DA">
      <w:pPr>
        <w:pStyle w:val="10"/>
        <w:keepNext/>
        <w:keepLines/>
        <w:spacing w:before="0" w:after="0" w:line="560" w:lineRule="exact"/>
        <w:rPr>
          <w:rFonts w:ascii="方正小标宋简体" w:eastAsia="方正小标宋简体"/>
          <w:b/>
          <w:bCs/>
          <w:color w:val="auto"/>
          <w:sz w:val="44"/>
          <w:szCs w:val="44"/>
          <w:lang w:eastAsia="zh-CN"/>
        </w:rPr>
      </w:pPr>
      <w:r>
        <w:rPr>
          <w:rFonts w:hint="eastAsia" w:ascii="方正小标宋简体" w:eastAsia="方正小标宋简体"/>
          <w:b/>
          <w:bCs/>
          <w:color w:val="auto"/>
          <w:sz w:val="44"/>
          <w:szCs w:val="44"/>
          <w:lang w:eastAsia="zh-CN"/>
        </w:rPr>
        <w:t>（202</w:t>
      </w:r>
      <w:r>
        <w:rPr>
          <w:rFonts w:hint="eastAsia" w:ascii="方正小标宋简体" w:eastAsia="方正小标宋简体"/>
          <w:b/>
          <w:bCs/>
          <w:color w:val="auto"/>
          <w:sz w:val="44"/>
          <w:szCs w:val="44"/>
          <w:lang w:val="en-US" w:eastAsia="zh-CN"/>
        </w:rPr>
        <w:t>4</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15</w:t>
      </w:r>
      <w:r>
        <w:rPr>
          <w:rFonts w:hint="eastAsia" w:ascii="方正小标宋简体" w:eastAsia="方正小标宋简体"/>
          <w:b/>
          <w:bCs/>
          <w:color w:val="auto"/>
          <w:sz w:val="44"/>
          <w:szCs w:val="44"/>
          <w:lang w:eastAsia="zh-CN"/>
        </w:rPr>
        <w:t>日—202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14</w:t>
      </w:r>
      <w:r>
        <w:rPr>
          <w:rFonts w:hint="eastAsia" w:ascii="方正小标宋简体" w:eastAsia="方正小标宋简体"/>
          <w:b/>
          <w:bCs/>
          <w:color w:val="auto"/>
          <w:sz w:val="44"/>
          <w:szCs w:val="44"/>
          <w:lang w:eastAsia="zh-CN"/>
        </w:rPr>
        <w:t>日）</w:t>
      </w:r>
    </w:p>
    <w:p w14:paraId="29FD843D">
      <w:pPr>
        <w:pStyle w:val="12"/>
        <w:spacing w:after="0" w:line="560" w:lineRule="exact"/>
        <w:ind w:firstLine="2522" w:firstLineChars="900"/>
        <w:jc w:val="both"/>
        <w:rPr>
          <w:rFonts w:ascii="仿宋_GB2312" w:eastAsia="PMingLiU"/>
          <w:b/>
          <w:color w:val="auto"/>
        </w:rPr>
      </w:pPr>
      <w:bookmarkStart w:id="3" w:name="bookmark4"/>
      <w:bookmarkStart w:id="4" w:name="bookmark5"/>
      <w:bookmarkStart w:id="5" w:name="bookmark3"/>
    </w:p>
    <w:p w14:paraId="72F562FA">
      <w:pPr>
        <w:pStyle w:val="12"/>
        <w:spacing w:after="0" w:line="560" w:lineRule="exact"/>
        <w:ind w:firstLine="2522" w:firstLineChars="900"/>
        <w:jc w:val="both"/>
        <w:rPr>
          <w:rFonts w:ascii="仿宋_GB2312" w:eastAsia="PMingLiU"/>
          <w:b/>
          <w:color w:val="auto"/>
        </w:rPr>
      </w:pPr>
    </w:p>
    <w:p w14:paraId="281EAAD9">
      <w:pPr>
        <w:pStyle w:val="12"/>
        <w:spacing w:after="0" w:line="560" w:lineRule="exact"/>
        <w:ind w:firstLine="2522" w:firstLineChars="900"/>
        <w:jc w:val="both"/>
        <w:rPr>
          <w:rFonts w:ascii="仿宋_GB2312" w:eastAsia="PMingLiU"/>
          <w:b/>
          <w:color w:val="auto"/>
        </w:rPr>
      </w:pPr>
    </w:p>
    <w:p w14:paraId="08994B33">
      <w:pPr>
        <w:pStyle w:val="12"/>
        <w:spacing w:after="0" w:line="560" w:lineRule="exact"/>
        <w:ind w:firstLine="2522" w:firstLineChars="900"/>
        <w:jc w:val="both"/>
        <w:rPr>
          <w:rFonts w:ascii="仿宋_GB2312" w:eastAsia="PMingLiU"/>
          <w:b/>
          <w:color w:val="auto"/>
        </w:rPr>
      </w:pPr>
    </w:p>
    <w:p w14:paraId="2AABD153">
      <w:pPr>
        <w:pStyle w:val="12"/>
        <w:spacing w:after="0" w:line="560" w:lineRule="exact"/>
        <w:ind w:firstLine="2522" w:firstLineChars="900"/>
        <w:jc w:val="both"/>
        <w:rPr>
          <w:rFonts w:ascii="仿宋_GB2312" w:eastAsia="PMingLiU"/>
          <w:b/>
          <w:color w:val="auto"/>
        </w:rPr>
      </w:pPr>
    </w:p>
    <w:p w14:paraId="076BF397">
      <w:pPr>
        <w:pStyle w:val="12"/>
        <w:spacing w:after="0" w:line="560" w:lineRule="exact"/>
        <w:ind w:firstLine="2522" w:firstLineChars="900"/>
        <w:jc w:val="both"/>
        <w:rPr>
          <w:rFonts w:ascii="仿宋_GB2312" w:eastAsia="PMingLiU"/>
          <w:b/>
          <w:color w:val="auto"/>
        </w:rPr>
      </w:pPr>
    </w:p>
    <w:p w14:paraId="4EF6B1D9">
      <w:pPr>
        <w:pStyle w:val="12"/>
        <w:spacing w:after="0" w:line="560" w:lineRule="exact"/>
        <w:ind w:firstLine="2522" w:firstLineChars="900"/>
        <w:jc w:val="both"/>
        <w:rPr>
          <w:rFonts w:ascii="仿宋_GB2312" w:eastAsia="PMingLiU"/>
          <w:b/>
          <w:color w:val="auto"/>
        </w:rPr>
      </w:pPr>
    </w:p>
    <w:p w14:paraId="6A54A6BE">
      <w:pPr>
        <w:pStyle w:val="12"/>
        <w:spacing w:after="0" w:line="560" w:lineRule="exact"/>
        <w:ind w:firstLine="2522" w:firstLineChars="900"/>
        <w:jc w:val="both"/>
        <w:rPr>
          <w:rFonts w:ascii="仿宋_GB2312" w:eastAsia="PMingLiU"/>
          <w:b/>
          <w:color w:val="auto"/>
        </w:rPr>
      </w:pPr>
    </w:p>
    <w:p w14:paraId="23676B29">
      <w:pPr>
        <w:pStyle w:val="12"/>
        <w:spacing w:after="0" w:line="560" w:lineRule="exact"/>
        <w:ind w:firstLine="2522" w:firstLineChars="900"/>
        <w:jc w:val="both"/>
        <w:rPr>
          <w:rFonts w:ascii="仿宋_GB2312" w:eastAsia="PMingLiU"/>
          <w:b/>
          <w:color w:val="auto"/>
        </w:rPr>
      </w:pPr>
    </w:p>
    <w:p w14:paraId="351D9674">
      <w:pPr>
        <w:pStyle w:val="12"/>
        <w:spacing w:after="0" w:line="560" w:lineRule="exact"/>
        <w:ind w:firstLine="2522" w:firstLineChars="900"/>
        <w:jc w:val="both"/>
        <w:rPr>
          <w:rFonts w:ascii="仿宋_GB2312" w:eastAsia="PMingLiU"/>
          <w:b/>
          <w:color w:val="auto"/>
        </w:rPr>
      </w:pPr>
    </w:p>
    <w:p w14:paraId="21249631">
      <w:pPr>
        <w:pStyle w:val="12"/>
        <w:spacing w:after="0" w:line="560" w:lineRule="exact"/>
        <w:ind w:firstLine="2086" w:firstLineChars="742"/>
        <w:jc w:val="both"/>
        <w:rPr>
          <w:rFonts w:ascii="仿宋_GB2312" w:eastAsia="仿宋_GB2312"/>
          <w:b/>
          <w:color w:val="auto"/>
        </w:rPr>
      </w:pPr>
      <w:r>
        <w:rPr>
          <w:rFonts w:hint="eastAsia" w:ascii="仿宋_GB2312" w:eastAsia="仿宋_GB2312"/>
          <w:b/>
          <w:color w:val="auto"/>
        </w:rPr>
        <w:t>评估委托方：广州市</w:t>
      </w:r>
      <w:r>
        <w:rPr>
          <w:rFonts w:hint="eastAsia" w:ascii="仿宋_GB2312" w:eastAsia="仿宋_GB2312"/>
          <w:b/>
          <w:color w:val="auto"/>
          <w:lang w:val="en-US"/>
        </w:rPr>
        <w:t>番禺</w:t>
      </w:r>
      <w:r>
        <w:rPr>
          <w:rFonts w:hint="eastAsia" w:ascii="仿宋_GB2312" w:eastAsia="仿宋_GB2312"/>
          <w:b/>
          <w:color w:val="auto"/>
        </w:rPr>
        <w:t>区民政局</w:t>
      </w:r>
    </w:p>
    <w:p w14:paraId="647775C3">
      <w:pPr>
        <w:pStyle w:val="12"/>
        <w:spacing w:after="0" w:line="560" w:lineRule="exact"/>
        <w:ind w:firstLine="2086" w:firstLineChars="742"/>
        <w:jc w:val="both"/>
        <w:rPr>
          <w:rFonts w:hint="default" w:ascii="仿宋_GB2312" w:eastAsia="仿宋_GB2312"/>
          <w:b/>
          <w:color w:val="auto"/>
          <w:lang w:val="en-US"/>
        </w:rPr>
      </w:pPr>
      <w:r>
        <w:rPr>
          <w:rFonts w:hint="eastAsia" w:ascii="仿宋_GB2312" w:eastAsia="仿宋_GB2312"/>
          <w:b/>
          <w:color w:val="auto"/>
        </w:rPr>
        <w:t>项目购买方：广州市</w:t>
      </w:r>
      <w:r>
        <w:rPr>
          <w:rFonts w:hint="eastAsia" w:ascii="仿宋_GB2312" w:eastAsia="仿宋_GB2312"/>
          <w:b/>
          <w:color w:val="auto"/>
          <w:lang w:val="en-US"/>
        </w:rPr>
        <w:t>番禺区</w:t>
      </w:r>
      <w:r>
        <w:rPr>
          <w:rFonts w:hint="eastAsia" w:ascii="仿宋_GB2312" w:eastAsia="仿宋_GB2312"/>
          <w:b/>
          <w:color w:val="auto"/>
          <w:lang w:val="en-US" w:eastAsia="zh-CN"/>
        </w:rPr>
        <w:t>南村镇人民政府</w:t>
      </w:r>
    </w:p>
    <w:p w14:paraId="0F6179F9">
      <w:pPr>
        <w:pStyle w:val="12"/>
        <w:spacing w:after="0" w:line="560" w:lineRule="exact"/>
        <w:ind w:firstLine="2086" w:firstLineChars="742"/>
        <w:jc w:val="both"/>
        <w:rPr>
          <w:rFonts w:hint="default" w:ascii="仿宋_GB2312" w:eastAsia="仿宋_GB2312"/>
          <w:b/>
          <w:color w:val="auto"/>
          <w:lang w:val="en-US" w:eastAsia="zh-CN"/>
        </w:rPr>
      </w:pPr>
      <w:r>
        <w:rPr>
          <w:rFonts w:hint="eastAsia" w:ascii="仿宋_GB2312" w:eastAsia="仿宋_GB2312"/>
          <w:b/>
          <w:color w:val="auto"/>
        </w:rPr>
        <w:t>项目承办方：广州市</w:t>
      </w:r>
      <w:r>
        <w:rPr>
          <w:rFonts w:hint="eastAsia" w:ascii="仿宋_GB2312" w:eastAsia="仿宋_GB2312"/>
          <w:b/>
          <w:color w:val="auto"/>
          <w:lang w:val="en-US" w:eastAsia="zh-CN"/>
        </w:rPr>
        <w:t>南沙区百民社会工作服务中心</w:t>
      </w:r>
    </w:p>
    <w:p w14:paraId="7AA75FFA">
      <w:pPr>
        <w:pStyle w:val="12"/>
        <w:spacing w:after="0" w:line="560" w:lineRule="exact"/>
        <w:ind w:firstLine="2086" w:firstLineChars="742"/>
        <w:jc w:val="both"/>
        <w:rPr>
          <w:rFonts w:ascii="仿宋_GB2312" w:eastAsia="仿宋_GB2312"/>
          <w:b/>
          <w:color w:val="auto"/>
        </w:rPr>
      </w:pPr>
      <w:r>
        <w:rPr>
          <w:rFonts w:hint="eastAsia" w:ascii="仿宋_GB2312" w:eastAsia="仿宋_GB2312"/>
          <w:b/>
          <w:color w:val="auto"/>
        </w:rPr>
        <w:t>项目评估方：</w:t>
      </w:r>
      <w:r>
        <w:rPr>
          <w:rFonts w:hint="eastAsia" w:ascii="仿宋_GB2312" w:eastAsia="仿宋_GB2312"/>
          <w:b/>
          <w:color w:val="auto"/>
          <w:lang w:val="en-US"/>
        </w:rPr>
        <w:t>广州市番禺区</w:t>
      </w:r>
      <w:r>
        <w:rPr>
          <w:rFonts w:hint="eastAsia" w:ascii="仿宋_GB2312" w:eastAsia="仿宋_GB2312"/>
          <w:b/>
          <w:color w:val="auto"/>
        </w:rPr>
        <w:t>社会组织联合会</w:t>
      </w:r>
    </w:p>
    <w:p w14:paraId="60A3D7BC">
      <w:pPr>
        <w:pStyle w:val="12"/>
        <w:spacing w:after="0" w:line="560" w:lineRule="exact"/>
        <w:ind w:firstLine="2086" w:firstLineChars="742"/>
        <w:jc w:val="both"/>
        <w:rPr>
          <w:rFonts w:ascii="仿宋_GB2312" w:eastAsia="仿宋_GB2312"/>
          <w:b/>
          <w:color w:val="auto"/>
        </w:rPr>
      </w:pPr>
      <w:r>
        <w:rPr>
          <w:rFonts w:hint="eastAsia" w:ascii="仿宋_GB2312" w:eastAsia="仿宋_GB2312"/>
          <w:b/>
          <w:color w:val="auto"/>
        </w:rPr>
        <w:t>评估日期：</w:t>
      </w:r>
      <w:r>
        <w:rPr>
          <w:rFonts w:hint="eastAsia" w:ascii="仿宋_GB2312" w:eastAsia="仿宋_GB2312"/>
          <w:b/>
          <w:color w:val="auto"/>
          <w:lang w:val="en-US" w:eastAsia="zh-CN"/>
        </w:rPr>
        <w:t>2025年8</w:t>
      </w:r>
      <w:r>
        <w:rPr>
          <w:rFonts w:hint="eastAsia" w:ascii="仿宋_GB2312" w:eastAsia="仿宋_GB2312"/>
          <w:b/>
          <w:color w:val="auto"/>
          <w:lang w:val="en-US"/>
        </w:rPr>
        <w:t>月</w:t>
      </w:r>
      <w:r>
        <w:rPr>
          <w:rFonts w:hint="eastAsia" w:ascii="仿宋_GB2312" w:eastAsia="仿宋_GB2312"/>
          <w:b/>
          <w:color w:val="auto"/>
          <w:lang w:val="en-US" w:eastAsia="zh-CN"/>
        </w:rPr>
        <w:t>12</w:t>
      </w:r>
      <w:r>
        <w:rPr>
          <w:rFonts w:hint="eastAsia" w:ascii="仿宋_GB2312" w:eastAsia="仿宋_GB2312"/>
          <w:b/>
          <w:color w:val="auto"/>
          <w:lang w:val="en-US"/>
        </w:rPr>
        <w:t>日</w:t>
      </w:r>
    </w:p>
    <w:p w14:paraId="21748A94">
      <w:pPr>
        <w:pStyle w:val="12"/>
        <w:spacing w:after="0" w:line="240" w:lineRule="auto"/>
        <w:ind w:firstLine="0"/>
        <w:rPr>
          <w:color w:val="auto"/>
        </w:rPr>
      </w:pPr>
    </w:p>
    <w:p w14:paraId="1311E8F4">
      <w:pPr>
        <w:pStyle w:val="12"/>
        <w:spacing w:after="0" w:line="240" w:lineRule="auto"/>
        <w:ind w:firstLine="0"/>
        <w:rPr>
          <w:color w:val="auto"/>
        </w:rPr>
      </w:pPr>
    </w:p>
    <w:p w14:paraId="4315189C">
      <w:pPr>
        <w:pStyle w:val="12"/>
        <w:spacing w:after="0" w:line="240" w:lineRule="auto"/>
        <w:ind w:firstLine="0"/>
        <w:rPr>
          <w:color w:val="auto"/>
        </w:rPr>
      </w:pPr>
    </w:p>
    <w:p w14:paraId="3C55F154">
      <w:pPr>
        <w:pStyle w:val="12"/>
        <w:spacing w:after="0" w:line="240" w:lineRule="auto"/>
        <w:ind w:firstLine="0"/>
        <w:rPr>
          <w:color w:val="auto"/>
        </w:rPr>
      </w:pPr>
    </w:p>
    <w:p w14:paraId="301785D9">
      <w:pPr>
        <w:pStyle w:val="12"/>
        <w:spacing w:after="0" w:line="240" w:lineRule="auto"/>
        <w:ind w:firstLine="0"/>
        <w:rPr>
          <w:rFonts w:eastAsia="PMingLiU"/>
          <w:color w:val="auto"/>
        </w:rPr>
        <w:sectPr>
          <w:pgSz w:w="11900" w:h="16840"/>
          <w:pgMar w:top="1301" w:right="876" w:bottom="1373" w:left="885" w:header="457" w:footer="448" w:gutter="0"/>
          <w:cols w:space="720" w:num="1"/>
          <w:docGrid w:linePitch="360" w:charSpace="0"/>
        </w:sectPr>
      </w:pPr>
    </w:p>
    <w:p w14:paraId="1B5CD9F5">
      <w:pPr>
        <w:pStyle w:val="12"/>
        <w:spacing w:after="0" w:line="240" w:lineRule="auto"/>
        <w:ind w:firstLine="0"/>
        <w:rPr>
          <w:color w:val="auto"/>
        </w:rPr>
      </w:pPr>
    </w:p>
    <w:bookmarkEnd w:id="3"/>
    <w:bookmarkEnd w:id="4"/>
    <w:bookmarkEnd w:id="5"/>
    <w:p w14:paraId="2E274127">
      <w:pPr>
        <w:pStyle w:val="12"/>
        <w:spacing w:after="0" w:line="560" w:lineRule="exact"/>
        <w:ind w:firstLine="0"/>
        <w:jc w:val="center"/>
        <w:rPr>
          <w:rFonts w:hint="eastAsia" w:ascii="方正小标宋简体" w:eastAsia="方正小标宋简体"/>
          <w:b/>
          <w:bCs/>
          <w:color w:val="auto"/>
          <w:sz w:val="44"/>
          <w:szCs w:val="44"/>
          <w:lang w:val="en-US" w:eastAsia="zh-CN"/>
        </w:rPr>
      </w:pPr>
      <w:r>
        <w:rPr>
          <w:rFonts w:hint="eastAsia" w:ascii="方正小标宋简体" w:eastAsia="方正小标宋简体"/>
          <w:b/>
          <w:bCs/>
          <w:color w:val="auto"/>
          <w:sz w:val="44"/>
          <w:szCs w:val="44"/>
          <w:lang w:val="en-US" w:eastAsia="zh-CN"/>
        </w:rPr>
        <w:t>南村镇西片社工服务站末期评估报告</w:t>
      </w:r>
    </w:p>
    <w:p w14:paraId="6BA1C251">
      <w:pPr>
        <w:pStyle w:val="12"/>
        <w:spacing w:after="0" w:line="560" w:lineRule="exact"/>
        <w:ind w:firstLine="0"/>
        <w:jc w:val="center"/>
        <w:rPr>
          <w:rFonts w:hint="eastAsia" w:ascii="方正小标宋简体" w:eastAsia="方正小标宋简体"/>
          <w:b/>
          <w:bCs/>
          <w:color w:val="auto"/>
          <w:sz w:val="44"/>
          <w:szCs w:val="44"/>
          <w:lang w:val="en-US" w:eastAsia="zh-CN"/>
        </w:rPr>
      </w:pPr>
      <w:r>
        <w:rPr>
          <w:rFonts w:hint="eastAsia" w:ascii="方正小标宋简体" w:eastAsia="方正小标宋简体"/>
          <w:b/>
          <w:bCs/>
          <w:color w:val="auto"/>
          <w:sz w:val="44"/>
          <w:szCs w:val="44"/>
          <w:lang w:val="en-US" w:eastAsia="zh-CN"/>
        </w:rPr>
        <w:t>（2024年8月15日—2025年8月14日）</w:t>
      </w:r>
    </w:p>
    <w:p w14:paraId="3351424B">
      <w:pPr>
        <w:pStyle w:val="12"/>
        <w:spacing w:after="0" w:line="560" w:lineRule="exact"/>
        <w:ind w:firstLine="0"/>
        <w:rPr>
          <w:rFonts w:hint="eastAsia" w:ascii="方正小标宋简体" w:eastAsia="方正小标宋简体"/>
          <w:b/>
          <w:bCs/>
          <w:color w:val="auto"/>
          <w:sz w:val="44"/>
          <w:szCs w:val="44"/>
          <w:lang w:val="en-US" w:eastAsia="zh-CN"/>
        </w:rPr>
      </w:pPr>
    </w:p>
    <w:p w14:paraId="35C0BBA6">
      <w:pPr>
        <w:pStyle w:val="12"/>
        <w:pageBreakBefore w:val="0"/>
        <w:widowControl w:val="0"/>
        <w:kinsoku/>
        <w:wordWrap/>
        <w:overflowPunct/>
        <w:topLinePunct w:val="0"/>
        <w:autoSpaceDE/>
        <w:autoSpaceDN/>
        <w:bidi w:val="0"/>
        <w:adjustRightInd/>
        <w:snapToGrid/>
        <w:spacing w:after="0" w:line="560" w:lineRule="exact"/>
        <w:ind w:firstLine="578"/>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南村镇西片社工服务站</w:t>
      </w:r>
      <w:r>
        <w:rPr>
          <w:rFonts w:hint="eastAsia" w:ascii="仿宋_GB2312" w:eastAsia="仿宋_GB2312"/>
          <w:color w:val="auto"/>
          <w:sz w:val="32"/>
          <w:szCs w:val="32"/>
        </w:rPr>
        <w:t>（简称</w:t>
      </w:r>
      <w:r>
        <w:rPr>
          <w:rFonts w:hint="eastAsia" w:ascii="仿宋_GB2312" w:eastAsia="仿宋_GB2312"/>
          <w:color w:val="auto"/>
          <w:sz w:val="32"/>
          <w:szCs w:val="32"/>
          <w:lang w:val="en-US" w:eastAsia="zh-CN"/>
        </w:rPr>
        <w:t>南村镇西片</w:t>
      </w:r>
      <w:r>
        <w:rPr>
          <w:rFonts w:hint="eastAsia" w:ascii="仿宋_GB2312" w:eastAsia="仿宋_GB2312"/>
          <w:color w:val="auto"/>
          <w:sz w:val="32"/>
          <w:szCs w:val="32"/>
        </w:rPr>
        <w:t>社工站）</w:t>
      </w:r>
      <w:r>
        <w:rPr>
          <w:rFonts w:hint="eastAsia" w:ascii="仿宋_GB2312" w:eastAsia="仿宋_GB2312"/>
          <w:color w:val="auto"/>
          <w:sz w:val="32"/>
          <w:szCs w:val="32"/>
          <w:lang w:eastAsia="zh-CN"/>
        </w:rPr>
        <w:t>末期</w:t>
      </w:r>
      <w:r>
        <w:rPr>
          <w:rFonts w:hint="eastAsia" w:ascii="仿宋_GB2312" w:eastAsia="仿宋_GB2312"/>
          <w:color w:val="auto"/>
          <w:sz w:val="32"/>
          <w:szCs w:val="32"/>
        </w:rPr>
        <w:t>报告，是专业评估人员通过对</w:t>
      </w:r>
      <w:r>
        <w:rPr>
          <w:rFonts w:hint="eastAsia" w:ascii="仿宋_GB2312" w:eastAsia="仿宋_GB2312"/>
          <w:color w:val="auto"/>
          <w:sz w:val="32"/>
          <w:szCs w:val="32"/>
          <w:lang w:val="en-US" w:eastAsia="zh-CN"/>
        </w:rPr>
        <w:t>南村镇西片</w:t>
      </w:r>
      <w:r>
        <w:rPr>
          <w:rFonts w:hint="eastAsia" w:ascii="仿宋_GB2312" w:eastAsia="仿宋_GB2312"/>
          <w:color w:val="auto"/>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color w:val="auto"/>
          <w:sz w:val="32"/>
          <w:szCs w:val="32"/>
        </w:rPr>
        <w:t>5</w:t>
      </w:r>
      <w:r>
        <w:rPr>
          <w:rFonts w:hint="eastAsia" w:ascii="仿宋_GB2312" w:eastAsia="仿宋_GB2312"/>
          <w:color w:val="auto"/>
          <w:sz w:val="32"/>
          <w:szCs w:val="32"/>
        </w:rPr>
        <w:t>位专家及</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名工作人员</w:t>
      </w:r>
      <w:r>
        <w:rPr>
          <w:rFonts w:hint="eastAsia" w:ascii="仿宋_GB2312" w:eastAsia="仿宋_GB2312"/>
          <w:color w:val="auto"/>
          <w:sz w:val="32"/>
          <w:szCs w:val="32"/>
          <w:lang w:val="en-US"/>
        </w:rPr>
        <w:t>对</w:t>
      </w:r>
      <w:r>
        <w:rPr>
          <w:rFonts w:hint="eastAsia" w:ascii="仿宋_GB2312" w:eastAsia="仿宋_GB2312"/>
          <w:color w:val="auto"/>
          <w:sz w:val="32"/>
          <w:szCs w:val="32"/>
        </w:rPr>
        <w:t>社工站展开为期一天的实地考察、访谈、查阅资料等形式的评估，形成此报告。</w:t>
      </w:r>
      <w:r>
        <w:rPr>
          <w:rFonts w:hint="eastAsia" w:ascii="仿宋_GB2312" w:eastAsia="仿宋_GB2312"/>
          <w:color w:val="auto"/>
          <w:sz w:val="32"/>
          <w:szCs w:val="32"/>
          <w:lang w:val="en-US" w:eastAsia="zh-CN"/>
        </w:rPr>
        <w:t>南村镇西片</w:t>
      </w:r>
      <w:r>
        <w:rPr>
          <w:rFonts w:hint="eastAsia" w:ascii="仿宋_GB2312" w:eastAsia="仿宋_GB2312"/>
          <w:color w:val="auto"/>
          <w:sz w:val="32"/>
          <w:szCs w:val="32"/>
        </w:rPr>
        <w:t>社工站可以将此报告作为参考，进行服务完善和提升，从多方面</w:t>
      </w:r>
      <w:r>
        <w:rPr>
          <w:rFonts w:hint="eastAsia" w:ascii="仿宋_GB2312" w:eastAsia="仿宋_GB2312"/>
          <w:color w:val="auto"/>
          <w:sz w:val="32"/>
          <w:szCs w:val="32"/>
          <w:lang w:eastAsia="zh-CN"/>
        </w:rPr>
        <w:t>夯实</w:t>
      </w:r>
      <w:r>
        <w:rPr>
          <w:rFonts w:hint="eastAsia" w:ascii="仿宋_GB2312" w:eastAsia="仿宋_GB2312"/>
          <w:color w:val="auto"/>
          <w:sz w:val="32"/>
          <w:szCs w:val="32"/>
        </w:rPr>
        <w:t>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color w:val="auto"/>
          <w:sz w:val="32"/>
          <w:szCs w:val="32"/>
        </w:rPr>
        <w:t>。</w:t>
      </w:r>
    </w:p>
    <w:p w14:paraId="4897BFD3">
      <w:pPr>
        <w:pStyle w:val="10"/>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一、</w:t>
      </w:r>
      <w:r>
        <w:rPr>
          <w:rFonts w:hint="eastAsia" w:ascii="方正小标宋简体" w:eastAsia="方正小标宋简体"/>
          <w:b/>
          <w:bCs/>
          <w:color w:val="auto"/>
          <w:sz w:val="32"/>
          <w:szCs w:val="28"/>
          <w:lang w:val="en-US" w:eastAsia="zh-CN"/>
        </w:rPr>
        <w:t>末期</w:t>
      </w:r>
      <w:r>
        <w:rPr>
          <w:rFonts w:hint="eastAsia" w:ascii="方正小标宋简体" w:eastAsia="方正小标宋简体"/>
          <w:b/>
          <w:bCs/>
          <w:color w:val="auto"/>
          <w:sz w:val="32"/>
          <w:szCs w:val="28"/>
          <w:lang w:val="en-US"/>
        </w:rPr>
        <w:t>评估背景</w:t>
      </w:r>
    </w:p>
    <w:p w14:paraId="19C0402C">
      <w:pPr>
        <w:pStyle w:val="12"/>
        <w:pageBreakBefore w:val="0"/>
        <w:widowControl w:val="0"/>
        <w:kinsoku/>
        <w:wordWrap/>
        <w:overflowPunct/>
        <w:topLinePunct w:val="0"/>
        <w:autoSpaceDE/>
        <w:autoSpaceDN/>
        <w:bidi w:val="0"/>
        <w:adjustRightInd/>
        <w:snapToGrid/>
        <w:spacing w:after="0" w:line="560" w:lineRule="exact"/>
        <w:ind w:firstLine="578"/>
        <w:jc w:val="both"/>
        <w:textAlignment w:val="auto"/>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2025年8月12日，番禺区社会组织联合会5位评委及2名工作人员对南村镇西片社工站展开了末期评估工作。评估为期1天，主要通过听取社工站介绍、实地考察、查阅资料、面谈（访谈）、填写问卷、入户困难群众询问等形式，对南村镇西片社工站的项目管理、服务开展情况以及项目成效等方面进行评估。评估团队主要完成了以下几方面的工作：</w:t>
      </w:r>
    </w:p>
    <w:p w14:paraId="648A122C">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sz w:val="32"/>
          <w:szCs w:val="32"/>
          <w:lang w:val="en-US"/>
        </w:rPr>
      </w:pPr>
      <w:bookmarkStart w:id="6" w:name="bookmark6"/>
      <w:bookmarkEnd w:id="6"/>
      <w:bookmarkStart w:id="7" w:name="bookmark13"/>
      <w:r>
        <w:rPr>
          <w:rFonts w:hint="eastAsia" w:ascii="仿宋_GB2312" w:hAnsi="仿宋_GB2312" w:eastAsia="仿宋_GB2312" w:cs="仿宋_GB2312"/>
          <w:b/>
          <w:sz w:val="32"/>
          <w:szCs w:val="32"/>
          <w:lang w:val="en-US"/>
        </w:rPr>
        <w:t>1.听取介绍。</w:t>
      </w:r>
      <w:r>
        <w:rPr>
          <w:rFonts w:hint="eastAsia" w:ascii="仿宋_GB2312" w:hAnsi="仿宋_GB2312" w:eastAsia="仿宋_GB2312" w:cs="仿宋_GB2312"/>
          <w:b w:val="0"/>
          <w:bCs/>
          <w:sz w:val="32"/>
          <w:szCs w:val="32"/>
          <w:lang w:val="en-US"/>
        </w:rPr>
        <w:t>由社工站负责人介绍社工站的运营及服务情况、各项指标完成情况。</w:t>
      </w:r>
    </w:p>
    <w:p w14:paraId="3BECD6C0">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sz w:val="32"/>
          <w:szCs w:val="32"/>
          <w:lang w:val="en-US"/>
        </w:rPr>
      </w:pPr>
      <w:r>
        <w:rPr>
          <w:rFonts w:hint="eastAsia" w:ascii="仿宋_GB2312" w:hAnsi="仿宋_GB2312" w:eastAsia="仿宋_GB2312" w:cs="仿宋_GB2312"/>
          <w:b/>
          <w:sz w:val="32"/>
          <w:szCs w:val="32"/>
          <w:lang w:val="en-US"/>
        </w:rPr>
        <w:t>2.实地观察。</w:t>
      </w:r>
      <w:r>
        <w:rPr>
          <w:rFonts w:hint="eastAsia" w:ascii="仿宋_GB2312" w:hAnsi="仿宋_GB2312" w:eastAsia="仿宋_GB2312" w:cs="仿宋_GB2312"/>
          <w:b w:val="0"/>
          <w:bCs/>
          <w:sz w:val="32"/>
          <w:szCs w:val="32"/>
          <w:lang w:val="en-US"/>
        </w:rPr>
        <w:t>主要针对社工站硬件建设情况方面进行观察，以评估其设施开展专业服务的适宜性。</w:t>
      </w:r>
    </w:p>
    <w:p w14:paraId="7370D5E9">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sz w:val="32"/>
          <w:szCs w:val="32"/>
          <w:lang w:val="en-US"/>
        </w:rPr>
      </w:pPr>
      <w:r>
        <w:rPr>
          <w:rFonts w:hint="eastAsia" w:ascii="仿宋_GB2312" w:hAnsi="仿宋_GB2312" w:eastAsia="仿宋_GB2312" w:cs="仿宋_GB2312"/>
          <w:b/>
          <w:sz w:val="32"/>
          <w:szCs w:val="32"/>
          <w:lang w:val="en-US"/>
        </w:rPr>
        <w:t>3.查阅资料。</w:t>
      </w:r>
      <w:r>
        <w:rPr>
          <w:rFonts w:hint="eastAsia" w:ascii="仿宋_GB2312" w:hAnsi="仿宋_GB2312" w:eastAsia="仿宋_GB2312" w:cs="仿宋_GB2312"/>
          <w:b w:val="0"/>
          <w:bCs/>
          <w:sz w:val="32"/>
          <w:szCs w:val="32"/>
          <w:lang w:val="en-US"/>
        </w:rPr>
        <w:t>查阅社工站行政、人事管理制度及专业服务记录等方面的资料。</w:t>
      </w:r>
    </w:p>
    <w:p w14:paraId="7AAAF1D1">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sz w:val="32"/>
          <w:szCs w:val="32"/>
          <w:lang w:val="en-US"/>
        </w:rPr>
      </w:pPr>
      <w:r>
        <w:rPr>
          <w:rFonts w:hint="eastAsia" w:ascii="仿宋_GB2312" w:hAnsi="仿宋_GB2312" w:eastAsia="仿宋_GB2312" w:cs="仿宋_GB2312"/>
          <w:b/>
          <w:sz w:val="32"/>
          <w:szCs w:val="32"/>
          <w:lang w:val="en-US"/>
        </w:rPr>
        <w:t>4.各项目访谈。</w:t>
      </w:r>
      <w:r>
        <w:rPr>
          <w:rFonts w:hint="eastAsia" w:ascii="仿宋_GB2312" w:hAnsi="仿宋_GB2312" w:eastAsia="仿宋_GB2312" w:cs="仿宋_GB2312"/>
          <w:b w:val="0"/>
          <w:bCs/>
          <w:sz w:val="32"/>
          <w:szCs w:val="32"/>
          <w:lang w:val="en-US"/>
        </w:rPr>
        <w:t>评委与各项目社工进行访谈，了解社工站服务推进情况，了解社工对服务项目的理解，以及开展服务的总结反思。</w:t>
      </w:r>
    </w:p>
    <w:p w14:paraId="19C59142">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sz w:val="32"/>
          <w:szCs w:val="32"/>
          <w:lang w:val="en-US"/>
        </w:rPr>
      </w:pPr>
      <w:r>
        <w:rPr>
          <w:rFonts w:hint="eastAsia" w:ascii="仿宋_GB2312" w:hAnsi="仿宋_GB2312" w:eastAsia="仿宋_GB2312" w:cs="仿宋_GB2312"/>
          <w:b/>
          <w:sz w:val="32"/>
          <w:szCs w:val="32"/>
          <w:lang w:val="en-US"/>
        </w:rPr>
        <w:t>5.机构运营访谈。</w:t>
      </w:r>
      <w:r>
        <w:rPr>
          <w:rFonts w:hint="eastAsia" w:ascii="仿宋_GB2312" w:hAnsi="仿宋_GB2312" w:eastAsia="仿宋_GB2312" w:cs="仿宋_GB2312"/>
          <w:b w:val="0"/>
          <w:bCs/>
          <w:sz w:val="32"/>
          <w:szCs w:val="32"/>
          <w:lang w:val="en-US"/>
        </w:rPr>
        <w:t>主要与承办机构管理人员及行政人员进行访谈，了解机构运营情况，查看机构行政配套制度等情况。</w:t>
      </w:r>
    </w:p>
    <w:p w14:paraId="3F6E822B">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sz w:val="32"/>
          <w:szCs w:val="32"/>
          <w:lang w:val="en-US"/>
        </w:rPr>
      </w:pPr>
      <w:r>
        <w:rPr>
          <w:rFonts w:hint="eastAsia" w:ascii="仿宋_GB2312" w:hAnsi="仿宋_GB2312" w:eastAsia="仿宋_GB2312" w:cs="仿宋_GB2312"/>
          <w:b/>
          <w:sz w:val="32"/>
          <w:szCs w:val="32"/>
          <w:lang w:val="en-US"/>
        </w:rPr>
        <w:t>6.利益相关方满意度及知晓度。</w:t>
      </w:r>
      <w:r>
        <w:rPr>
          <w:rFonts w:hint="eastAsia" w:ascii="仿宋_GB2312" w:hAnsi="仿宋_GB2312" w:eastAsia="仿宋_GB2312" w:cs="仿宋_GB2312"/>
          <w:b w:val="0"/>
          <w:bCs/>
          <w:sz w:val="32"/>
          <w:szCs w:val="32"/>
          <w:lang w:val="en-US"/>
        </w:rPr>
        <w:t>主要社工站在辖区内的知晓度以及各利益相关方对社工</w:t>
      </w:r>
      <w:r>
        <w:rPr>
          <w:rFonts w:hint="eastAsia" w:ascii="仿宋_GB2312" w:hAnsi="仿宋_GB2312" w:eastAsia="仿宋_GB2312" w:cs="仿宋_GB2312"/>
          <w:b w:val="0"/>
          <w:bCs/>
          <w:sz w:val="32"/>
          <w:szCs w:val="32"/>
          <w:lang w:val="en-US" w:eastAsia="zh-CN"/>
        </w:rPr>
        <w:t>站</w:t>
      </w:r>
      <w:r>
        <w:rPr>
          <w:rFonts w:hint="eastAsia" w:ascii="仿宋_GB2312" w:hAnsi="仿宋_GB2312" w:eastAsia="仿宋_GB2312" w:cs="仿宋_GB2312"/>
          <w:b w:val="0"/>
          <w:bCs/>
          <w:sz w:val="32"/>
          <w:szCs w:val="32"/>
          <w:lang w:val="en-US"/>
        </w:rPr>
        <w:t>提供的服务以及过程中的满意度。</w:t>
      </w:r>
    </w:p>
    <w:p w14:paraId="541399F1">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sz w:val="32"/>
          <w:szCs w:val="32"/>
          <w:lang w:val="en-US"/>
        </w:rPr>
      </w:pPr>
      <w:r>
        <w:rPr>
          <w:rFonts w:hint="eastAsia" w:ascii="仿宋_GB2312" w:hAnsi="仿宋_GB2312" w:eastAsia="仿宋_GB2312" w:cs="仿宋_GB2312"/>
          <w:b/>
          <w:sz w:val="32"/>
          <w:szCs w:val="32"/>
          <w:lang w:val="en-US"/>
        </w:rPr>
        <w:t>7.总结反馈。</w:t>
      </w:r>
      <w:r>
        <w:rPr>
          <w:rFonts w:hint="eastAsia" w:ascii="仿宋_GB2312" w:hAnsi="仿宋_GB2312" w:eastAsia="仿宋_GB2312" w:cs="仿宋_GB2312"/>
          <w:b w:val="0"/>
          <w:bCs/>
          <w:sz w:val="32"/>
          <w:szCs w:val="32"/>
          <w:lang w:val="en-US"/>
        </w:rPr>
        <w:t>由评委团队对评估进行总结，与社工站社工进行反馈，听取街道购买方对社工站工作开展的意见和建议，了解社工站同事对本次活动的反馈。</w:t>
      </w:r>
    </w:p>
    <w:p w14:paraId="7B1AE9D8">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7"/>
      <w:r>
        <w:rPr>
          <w:rFonts w:hint="eastAsia" w:ascii="仿宋_GB2312" w:hAnsi="仿宋_GB2312" w:eastAsia="仿宋_GB2312" w:cs="仿宋_GB2312"/>
          <w:b/>
          <w:sz w:val="32"/>
          <w:szCs w:val="32"/>
        </w:rPr>
        <w:t>一）评估依据</w:t>
      </w:r>
    </w:p>
    <w:p w14:paraId="2CE22914">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sz w:val="32"/>
          <w:szCs w:val="32"/>
        </w:rPr>
      </w:pPr>
      <w:bookmarkStart w:id="8" w:name="bookmark14"/>
      <w:bookmarkEnd w:id="8"/>
      <w:bookmarkStart w:id="9" w:name="bookmark16"/>
      <w:r>
        <w:rPr>
          <w:rFonts w:hint="eastAsia" w:ascii="仿宋_GB2312" w:hAnsi="仿宋_GB2312" w:eastAsia="仿宋_GB2312" w:cs="仿宋_GB2312"/>
          <w:b/>
          <w:bCs/>
          <w:sz w:val="32"/>
          <w:szCs w:val="32"/>
        </w:rPr>
        <w:t>1.政策依据：</w:t>
      </w:r>
      <w:r>
        <w:rPr>
          <w:rFonts w:hint="eastAsia" w:ascii="仿宋_GB2312" w:hAnsi="仿宋_GB2312" w:eastAsia="仿宋_GB2312" w:cs="仿宋_GB2312"/>
          <w:sz w:val="32"/>
          <w:szCs w:val="32"/>
        </w:rPr>
        <w:t>《广州市社工站购买服务项目服务清单（民政领域社会工作）》《广州市社工站购买服务项目服务标准》《广州市社工站购买服务项目评估办法》《广州市社工服务站管理办法》《广州市社工站岗位职责》《政府购买服务管理办法》《广州市社会工作服务条例》等。</w:t>
      </w:r>
    </w:p>
    <w:p w14:paraId="66B09EFD">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2.评估标准依据：</w:t>
      </w:r>
      <w:r>
        <w:rPr>
          <w:rFonts w:hint="eastAsia" w:ascii="仿宋_GB2312" w:hAnsi="仿宋_GB2312" w:eastAsia="仿宋_GB2312" w:cs="仿宋_GB2312"/>
          <w:sz w:val="32"/>
          <w:szCs w:val="32"/>
        </w:rPr>
        <w:t>《广州市社工站购买服务项目评估指标体系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广州市社工站购买服务项目协议》。</w:t>
      </w:r>
    </w:p>
    <w:p w14:paraId="6631765B">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9"/>
      <w:r>
        <w:rPr>
          <w:rFonts w:hint="eastAsia" w:ascii="仿宋_GB2312" w:hAnsi="仿宋_GB2312" w:eastAsia="仿宋_GB2312" w:cs="仿宋_GB2312"/>
          <w:b/>
          <w:sz w:val="32"/>
          <w:szCs w:val="32"/>
        </w:rPr>
        <w:t>二）评估原则</w:t>
      </w:r>
    </w:p>
    <w:p w14:paraId="6192FE98">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sz w:val="32"/>
          <w:szCs w:val="32"/>
        </w:rPr>
      </w:pPr>
      <w:bookmarkStart w:id="10" w:name="bookmark17"/>
      <w:bookmarkEnd w:id="10"/>
      <w:bookmarkStart w:id="11" w:name="bookmark23"/>
      <w:r>
        <w:rPr>
          <w:rFonts w:hint="eastAsia" w:ascii="仿宋_GB2312" w:hAnsi="仿宋_GB2312" w:eastAsia="仿宋_GB2312" w:cs="仿宋_GB2312"/>
          <w:b/>
          <w:sz w:val="32"/>
          <w:szCs w:val="32"/>
        </w:rPr>
        <w:t>1.真实诚信原则：</w:t>
      </w:r>
      <w:r>
        <w:rPr>
          <w:rFonts w:hint="eastAsia" w:ascii="仿宋_GB2312" w:hAnsi="仿宋_GB2312" w:eastAsia="仿宋_GB2312" w:cs="仿宋_GB2312"/>
          <w:b w:val="0"/>
          <w:bCs/>
          <w:sz w:val="32"/>
          <w:szCs w:val="32"/>
        </w:rPr>
        <w:t>评估要求项目运营方必须以实事求是的态度对待评估，本着诚实守信的原则，提供和展示能够真实、客观反映其项目运营状况的依据和有效资料，以供评估小组考察。</w:t>
      </w:r>
    </w:p>
    <w:p w14:paraId="32BE3068">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sz w:val="32"/>
          <w:szCs w:val="32"/>
        </w:rPr>
        <w:t>2.客观公正原则：</w:t>
      </w:r>
      <w:r>
        <w:rPr>
          <w:rFonts w:hint="eastAsia" w:ascii="仿宋_GB2312" w:hAnsi="仿宋_GB2312" w:eastAsia="仿宋_GB2312" w:cs="仿宋_GB2312"/>
          <w:b w:val="0"/>
          <w:bCs/>
          <w:sz w:val="32"/>
          <w:szCs w:val="32"/>
        </w:rPr>
        <w:t>评估要求所有评委恪守“客观公正的第三方”评估者角色，依据事实和真实情况给出客观、中肯评价意见或结论。</w:t>
      </w:r>
    </w:p>
    <w:p w14:paraId="0C4C6C42">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3.证据为本原则：</w:t>
      </w:r>
      <w:r>
        <w:rPr>
          <w:rFonts w:hint="eastAsia" w:ascii="仿宋_GB2312" w:hAnsi="仿宋_GB2312" w:eastAsia="仿宋_GB2312" w:cs="仿宋_GB2312"/>
          <w:b w:val="0"/>
          <w:bCs/>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14:paraId="4C24ABDF">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sz w:val="32"/>
          <w:szCs w:val="32"/>
        </w:rPr>
        <w:t>4.以评促进原则：</w:t>
      </w:r>
      <w:r>
        <w:rPr>
          <w:rFonts w:hint="eastAsia" w:ascii="仿宋_GB2312" w:hAnsi="仿宋_GB2312" w:eastAsia="仿宋_GB2312" w:cs="仿宋_GB2312"/>
          <w:b w:val="0"/>
          <w:bCs/>
          <w:sz w:val="32"/>
          <w:szCs w:val="32"/>
        </w:rPr>
        <w:t>评估要求评委要本着促进项目运营质量和成效的目标原则实施评估活动，给出评估指导意见，评估意见应具体、清晰、可行，能够切实指导项目运营团队持续改善服务成效和质量。</w:t>
      </w:r>
    </w:p>
    <w:p w14:paraId="1B0780B2">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5.回避监督原则：</w:t>
      </w:r>
      <w:r>
        <w:rPr>
          <w:rFonts w:hint="eastAsia" w:ascii="仿宋_GB2312" w:hAnsi="仿宋_GB2312" w:eastAsia="仿宋_GB2312" w:cs="仿宋_GB2312"/>
          <w:b w:val="0"/>
          <w:bCs/>
          <w:sz w:val="32"/>
          <w:szCs w:val="32"/>
        </w:rPr>
        <w:t>评估要求评委在评估前与被评估方有单独接触、有利益关系或冲突的，均应回避；被评估方有权监督评估团队的评估工作，并有权提出合理异议或回避要求，以免评估失去公正性和可信度。</w:t>
      </w:r>
    </w:p>
    <w:p w14:paraId="6F44B453">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6.保密尊重原则：</w:t>
      </w:r>
      <w:r>
        <w:rPr>
          <w:rFonts w:hint="eastAsia" w:ascii="仿宋_GB2312" w:hAnsi="仿宋_GB2312" w:eastAsia="仿宋_GB2312" w:cs="仿宋_GB2312"/>
          <w:b w:val="0"/>
          <w:bCs/>
          <w:sz w:val="32"/>
          <w:szCs w:val="32"/>
        </w:rPr>
        <w:t>评估要求评委应尊重和保护其工作中所接触、发现或遇到的涉及服务对象隐私权等所有受法律保护的事项，并依法负有保密职责；评估要求评委在评估过程中应尊重被评估方的所有原创性专业技术、方法等成果，并依法负有保密职责。</w:t>
      </w:r>
    </w:p>
    <w:p w14:paraId="24F8839E">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11"/>
      <w:r>
        <w:rPr>
          <w:rFonts w:hint="eastAsia" w:ascii="仿宋_GB2312" w:hAnsi="仿宋_GB2312" w:eastAsia="仿宋_GB2312" w:cs="仿宋_GB2312"/>
          <w:b/>
          <w:sz w:val="32"/>
          <w:szCs w:val="32"/>
        </w:rPr>
        <w:t>三）评估阶段</w:t>
      </w:r>
    </w:p>
    <w:p w14:paraId="77A448D0">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sz w:val="32"/>
          <w:szCs w:val="32"/>
          <w:lang w:eastAsia="zh-CN"/>
        </w:rPr>
      </w:pPr>
      <w:bookmarkStart w:id="12" w:name="bookmark24"/>
      <w:bookmarkEnd w:id="12"/>
      <w:r>
        <w:rPr>
          <w:rFonts w:hint="eastAsia" w:ascii="仿宋_GB2312" w:eastAsia="仿宋_GB2312"/>
          <w:b/>
          <w:sz w:val="32"/>
          <w:szCs w:val="32"/>
          <w:lang w:val="en-US" w:eastAsia="zh-CN"/>
        </w:rPr>
        <w:t>1.</w:t>
      </w:r>
      <w:r>
        <w:rPr>
          <w:rFonts w:hint="eastAsia" w:ascii="仿宋_GB2312" w:eastAsia="仿宋_GB2312"/>
          <w:b/>
          <w:sz w:val="32"/>
          <w:szCs w:val="32"/>
          <w:lang w:eastAsia="zh-CN"/>
        </w:rPr>
        <w:t>制定评估计划</w:t>
      </w:r>
    </w:p>
    <w:p w14:paraId="5E55A88E">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番禺区民政局会同番禺区社会组织联合会根据最新管理办法要求及南村镇西片社工站项目合同期限确定评估时间，制定好评估计划和评估通知。</w:t>
      </w:r>
    </w:p>
    <w:p w14:paraId="36A4692B">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2.自我评审阶段</w:t>
      </w:r>
    </w:p>
    <w:p w14:paraId="2C1DDA03">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南村镇西片</w:t>
      </w:r>
      <w:r>
        <w:rPr>
          <w:rFonts w:hint="eastAsia" w:ascii="仿宋_GB2312" w:eastAsia="仿宋_GB2312"/>
          <w:sz w:val="32"/>
          <w:szCs w:val="32"/>
        </w:rPr>
        <w:t>社工站结合</w:t>
      </w:r>
      <w:r>
        <w:rPr>
          <w:rFonts w:ascii="仿宋_GB2312" w:eastAsia="仿宋_GB2312"/>
          <w:sz w:val="32"/>
          <w:szCs w:val="32"/>
          <w:lang w:val="en-US"/>
        </w:rPr>
        <w:t>《广州市社工站购买服务项目评估指标体系》</w:t>
      </w:r>
      <w:r>
        <w:rPr>
          <w:rFonts w:hint="eastAsia" w:ascii="仿宋_GB2312" w:eastAsia="仿宋_GB2312"/>
          <w:sz w:val="32"/>
          <w:szCs w:val="32"/>
        </w:rPr>
        <w:t>和签订的服务协议，逐项对照，准备材料，结合实际进行自我评估，并完成自评报告的报送工作。</w:t>
      </w:r>
    </w:p>
    <w:p w14:paraId="385CA446">
      <w:pPr>
        <w:pStyle w:val="12"/>
        <w:keepNext w:val="0"/>
        <w:keepLines w:val="0"/>
        <w:pageBreakBefore w:val="0"/>
        <w:widowControl w:val="0"/>
        <w:tabs>
          <w:tab w:val="left" w:pos="1001"/>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sz w:val="32"/>
          <w:szCs w:val="32"/>
          <w:lang w:eastAsia="zh-CN"/>
        </w:rPr>
      </w:pPr>
      <w:bookmarkStart w:id="13" w:name="bookmark25"/>
      <w:bookmarkEnd w:id="13"/>
      <w:r>
        <w:rPr>
          <w:rFonts w:hint="eastAsia" w:ascii="仿宋_GB2312" w:eastAsia="仿宋_GB2312"/>
          <w:b/>
          <w:sz w:val="32"/>
          <w:szCs w:val="32"/>
          <w:lang w:val="en-US" w:eastAsia="zh-CN"/>
        </w:rPr>
        <w:t>3.</w:t>
      </w:r>
      <w:r>
        <w:rPr>
          <w:rFonts w:hint="eastAsia" w:ascii="仿宋_GB2312" w:eastAsia="仿宋_GB2312"/>
          <w:b/>
          <w:sz w:val="32"/>
          <w:szCs w:val="32"/>
          <w:lang w:eastAsia="zh-CN"/>
        </w:rPr>
        <w:t>实地评估阶段</w:t>
      </w:r>
    </w:p>
    <w:p w14:paraId="1986BF1E">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评估小组根据评估计划组织实施，对南村镇西片社工站提供的材料进行审阅，实地考察，进行现场评估并打分。评估小组根据公平、公正的原则，严格按照评估要求，对南村镇西片社工站进行评估工作。</w:t>
      </w:r>
    </w:p>
    <w:p w14:paraId="5524C6B7">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sz w:val="32"/>
          <w:szCs w:val="32"/>
        </w:rPr>
      </w:pPr>
      <w:r>
        <w:rPr>
          <w:rFonts w:hint="eastAsia" w:ascii="仿宋_GB2312" w:eastAsia="仿宋_GB2312"/>
          <w:b/>
          <w:bCs/>
          <w:sz w:val="32"/>
          <w:szCs w:val="32"/>
          <w:lang w:val="en-US" w:eastAsia="zh-CN"/>
        </w:rPr>
        <w:t>4.</w:t>
      </w:r>
      <w:r>
        <w:rPr>
          <w:rFonts w:hint="eastAsia" w:ascii="仿宋_GB2312" w:eastAsia="仿宋_GB2312"/>
          <w:b/>
          <w:sz w:val="32"/>
          <w:szCs w:val="32"/>
        </w:rPr>
        <w:t>反馈初评意见</w:t>
      </w:r>
    </w:p>
    <w:p w14:paraId="50FBD238">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lang w:eastAsia="zh-CN"/>
        </w:rPr>
      </w:pPr>
      <w:r>
        <w:rPr>
          <w:rFonts w:hint="eastAsia" w:ascii="仿宋_GB2312" w:eastAsia="仿宋_GB2312"/>
          <w:sz w:val="32"/>
          <w:szCs w:val="32"/>
          <w:lang w:eastAsia="zh-CN"/>
        </w:rPr>
        <w:t>综合评委专家、监督方、购买方、市督导中心的意见和建议，在评估工作结束后5个工作日内，向番禺区民政局、南村镇人民政府及南村镇西片社工服务站反馈初评意见，对评估结果、存在问题及改进建议等进行沟通确认。</w:t>
      </w:r>
    </w:p>
    <w:p w14:paraId="79FE58F7">
      <w:pPr>
        <w:pStyle w:val="12"/>
        <w:keepNext w:val="0"/>
        <w:keepLines w:val="0"/>
        <w:pageBreakBefore w:val="0"/>
        <w:widowControl w:val="0"/>
        <w:tabs>
          <w:tab w:val="left" w:pos="100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sz w:val="32"/>
          <w:szCs w:val="32"/>
        </w:rPr>
      </w:pPr>
      <w:bookmarkStart w:id="14" w:name="bookmark27"/>
      <w:bookmarkEnd w:id="14"/>
      <w:r>
        <w:rPr>
          <w:rFonts w:hint="eastAsia" w:ascii="仿宋_GB2312" w:eastAsia="仿宋_GB2312"/>
          <w:b/>
          <w:sz w:val="32"/>
          <w:szCs w:val="32"/>
          <w:lang w:val="en-US" w:eastAsia="zh-CN"/>
        </w:rPr>
        <w:t>5.</w:t>
      </w:r>
      <w:r>
        <w:rPr>
          <w:rFonts w:hint="eastAsia" w:ascii="仿宋_GB2312" w:eastAsia="仿宋_GB2312"/>
          <w:b/>
          <w:sz w:val="32"/>
          <w:szCs w:val="32"/>
        </w:rPr>
        <w:t>出具</w:t>
      </w:r>
      <w:r>
        <w:rPr>
          <w:rFonts w:hint="eastAsia" w:ascii="仿宋_GB2312" w:eastAsia="仿宋_GB2312"/>
          <w:b/>
          <w:sz w:val="32"/>
          <w:szCs w:val="32"/>
          <w:lang w:val="en-US" w:eastAsia="zh-CN"/>
        </w:rPr>
        <w:t>末期</w:t>
      </w:r>
      <w:r>
        <w:rPr>
          <w:rFonts w:hint="eastAsia" w:ascii="仿宋_GB2312" w:eastAsia="仿宋_GB2312"/>
          <w:b/>
          <w:sz w:val="32"/>
          <w:szCs w:val="32"/>
        </w:rPr>
        <w:t>评估报告</w:t>
      </w:r>
    </w:p>
    <w:p w14:paraId="0E59940A">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在评估工作结束后10个工作日内，向番禺区民政局、南村镇人民政府及南村镇西片社工服务站各出具一份评估报告，提出项目存在的问题及改进建议。</w:t>
      </w:r>
    </w:p>
    <w:p w14:paraId="026EE8FE">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6.公示评估报告及受理评估投诉</w:t>
      </w:r>
    </w:p>
    <w:p w14:paraId="54211C5C">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bCs/>
          <w:sz w:val="32"/>
          <w:szCs w:val="32"/>
          <w:lang w:val="en-US" w:eastAsia="zh-CN"/>
        </w:rPr>
      </w:pPr>
      <w:r>
        <w:rPr>
          <w:rFonts w:ascii="仿宋_GB2312" w:eastAsia="仿宋_GB2312"/>
          <w:bCs/>
          <w:sz w:val="32"/>
          <w:szCs w:val="32"/>
          <w:lang w:val="en-US" w:eastAsia="zh-CN"/>
        </w:rPr>
        <w:t>区民政局在收到评估报告后汇总社会救助等有关业务科室意见，于5个工作日内确认评估报告，确认后对</w:t>
      </w:r>
      <w:r>
        <w:rPr>
          <w:rFonts w:hint="eastAsia" w:ascii="仿宋_GB2312" w:eastAsia="仿宋_GB2312"/>
          <w:bCs/>
          <w:sz w:val="32"/>
          <w:szCs w:val="32"/>
          <w:lang w:val="en-US" w:eastAsia="zh-CN"/>
        </w:rPr>
        <w:t>南村镇西片</w:t>
      </w:r>
      <w:r>
        <w:rPr>
          <w:rFonts w:ascii="仿宋_GB2312" w:eastAsia="仿宋_GB2312"/>
          <w:bCs/>
          <w:sz w:val="32"/>
          <w:szCs w:val="32"/>
          <w:lang w:val="en-US" w:eastAsia="zh-CN"/>
        </w:rPr>
        <w:t>社工站项目的评估报告进行公示，公示期不少于7个工作日。公示期间，如收到对评估报告的质疑或投诉，区民政局及时对评估结果进行复核，并确定最终评估结果，同时将有关处理情况报市民政部门。</w:t>
      </w:r>
    </w:p>
    <w:p w14:paraId="383DBAA3">
      <w:pPr>
        <w:pStyle w:val="12"/>
        <w:keepNext w:val="0"/>
        <w:keepLines w:val="0"/>
        <w:pageBreakBefore w:val="0"/>
        <w:widowControl w:val="0"/>
        <w:numPr>
          <w:ilvl w:val="0"/>
          <w:numId w:val="1"/>
        </w:numPr>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评估内容</w:t>
      </w:r>
    </w:p>
    <w:p w14:paraId="28969090">
      <w:pPr>
        <w:pStyle w:val="1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sz w:val="32"/>
          <w:szCs w:val="32"/>
          <w:lang w:val="en-US" w:eastAsia="zh-CN"/>
        </w:rPr>
        <w:t>1.</w:t>
      </w:r>
      <w:r>
        <w:rPr>
          <w:rFonts w:hint="eastAsia" w:ascii="仿宋_GB2312" w:hAnsi="仿宋_GB2312" w:eastAsia="仿宋_GB2312" w:cs="仿宋_GB2312"/>
          <w:b/>
          <w:sz w:val="32"/>
          <w:szCs w:val="32"/>
        </w:rPr>
        <w:t>运营管理情况评估：</w:t>
      </w:r>
      <w:r>
        <w:rPr>
          <w:rFonts w:hint="eastAsia" w:ascii="仿宋_GB2312" w:hAnsi="仿宋_GB2312" w:eastAsia="仿宋_GB2312" w:cs="仿宋_GB2312"/>
          <w:b w:val="0"/>
          <w:bCs/>
          <w:sz w:val="32"/>
          <w:szCs w:val="32"/>
        </w:rPr>
        <w:t>主要从社工站人员管理、行政管理、项目宣传等方面进行评估。</w:t>
      </w:r>
    </w:p>
    <w:p w14:paraId="16ED8E6B">
      <w:pPr>
        <w:pStyle w:val="1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sz w:val="32"/>
          <w:szCs w:val="32"/>
        </w:rPr>
        <w:t>2.项目服务评估：</w:t>
      </w:r>
      <w:r>
        <w:rPr>
          <w:rFonts w:hint="eastAsia" w:ascii="仿宋_GB2312" w:hAnsi="仿宋_GB2312" w:eastAsia="仿宋_GB2312" w:cs="仿宋_GB2312"/>
          <w:b w:val="0"/>
          <w:bCs/>
          <w:sz w:val="32"/>
          <w:szCs w:val="32"/>
        </w:rPr>
        <w:t>根据《广州市社工站购买服务项目评估指标体系》，结合社工站与镇街签订的三方协议规定开展的服务内容开展评估工作，主要从需求评估、服务设计、服务执行、服务成效等方面进行评估。</w:t>
      </w:r>
    </w:p>
    <w:p w14:paraId="0FABA12B">
      <w:pPr>
        <w:pStyle w:val="1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sz w:val="32"/>
          <w:szCs w:val="32"/>
        </w:rPr>
        <w:t>3.利益相关方满意度及知晓度访谈：</w:t>
      </w:r>
      <w:r>
        <w:rPr>
          <w:rFonts w:hint="eastAsia" w:ascii="仿宋_GB2312" w:hAnsi="仿宋_GB2312" w:eastAsia="仿宋_GB2312" w:cs="仿宋_GB2312"/>
          <w:b w:val="0"/>
          <w:bCs/>
          <w:sz w:val="32"/>
          <w:szCs w:val="32"/>
        </w:rPr>
        <w:t>服务对象满意度主要由评估机构统筹实施，通过电访、走访、调查问卷等方式进行，随机抽取不少于100名服务对象开展满意度调查（困难群众和特殊群体总人数低于100的，按照实际人数开展全覆盖满意度调查）。</w:t>
      </w:r>
    </w:p>
    <w:p w14:paraId="0A950A26">
      <w:pPr>
        <w:pStyle w:val="1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4.收集整理相关方反馈</w:t>
      </w:r>
    </w:p>
    <w:p w14:paraId="325E6F4F">
      <w:pPr>
        <w:pStyle w:val="1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val="0"/>
          <w:bCs/>
          <w:sz w:val="32"/>
          <w:szCs w:val="32"/>
        </w:rPr>
        <w:t>收集整理相关方意见反馈，包括街道购买方对社工站项目作用发挥情况的综合评价，监督方番禺区民政局对社工站项目的自查自纠检查情况、督查整改落实情况的综合评价，以及督导中心对服务质量保障方面情况的综合评价。</w:t>
      </w:r>
    </w:p>
    <w:p w14:paraId="7FA81A6F">
      <w:pPr>
        <w:pStyle w:val="10"/>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（五）评估结果说明</w:t>
      </w:r>
    </w:p>
    <w:p w14:paraId="3A13D14B">
      <w:pPr>
        <w:pStyle w:val="10"/>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社工站项目评估分值由四方评估分数的总和确定。其中，第三方评估机构评估分值占比55％、督导中心评估分值占比15％、镇人民政府（街道办事处）评估分值占比20％、区民政部门评估分值占比10％。评估等级分为优秀、良好、合格、不合格四个等级，90分以上为优秀，80分至90分（不含90分）为良好</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 xml:space="preserve"> 60分至80分（不含80分）为合格，60分以下（不含60分）为不合格。评估中若发现有下列情形之一的，评估结果</w:t>
      </w:r>
      <w:r>
        <w:rPr>
          <w:rFonts w:hint="eastAsia" w:ascii="仿宋_GB2312" w:hAnsi="仿宋_GB2312" w:eastAsia="仿宋_GB2312" w:cs="仿宋_GB2312"/>
          <w:b w:val="0"/>
          <w:bCs/>
          <w:sz w:val="32"/>
          <w:szCs w:val="32"/>
          <w:lang w:eastAsia="zh-CN"/>
        </w:rPr>
        <w:t>也确</w:t>
      </w:r>
      <w:r>
        <w:rPr>
          <w:rFonts w:hint="eastAsia" w:ascii="仿宋_GB2312" w:hAnsi="仿宋_GB2312" w:eastAsia="仿宋_GB2312" w:cs="仿宋_GB2312"/>
          <w:b w:val="0"/>
          <w:bCs/>
          <w:sz w:val="32"/>
          <w:szCs w:val="32"/>
        </w:rPr>
        <w:t>定为不合格：</w:t>
      </w:r>
    </w:p>
    <w:p w14:paraId="0034C11E">
      <w:pPr>
        <w:pStyle w:val="10"/>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lang w:eastAsia="zh-CN"/>
        </w:rPr>
        <w:t>（一）保洁、安保等人员占用社工名额的；</w:t>
      </w:r>
    </w:p>
    <w:p w14:paraId="13E245BF">
      <w:pPr>
        <w:pStyle w:val="10"/>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lang w:eastAsia="zh-CN"/>
        </w:rPr>
        <w:t>（二）社工人员配备不足的，其中，项目配备10名及以上社工的，中期评估累计缺少5人次及以上，末期评估累计缺少10人次及以上；项目配备10名以下社工的，中期评估累计缺少3人次及以上，末期评估累计缺少6人次及以上；</w:t>
      </w:r>
    </w:p>
    <w:p w14:paraId="27AED952">
      <w:pPr>
        <w:pStyle w:val="10"/>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lang w:eastAsia="zh-CN"/>
        </w:rPr>
        <w:t>（三）持证社工比例不达标的；</w:t>
      </w:r>
    </w:p>
    <w:p w14:paraId="49C64804">
      <w:pPr>
        <w:pStyle w:val="10"/>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lang w:eastAsia="zh-CN"/>
        </w:rPr>
        <w:t>（四）年度服务期内人员费用支出比例低于80%的；</w:t>
      </w:r>
    </w:p>
    <w:p w14:paraId="34FF5E14">
      <w:pPr>
        <w:pStyle w:val="10"/>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lang w:eastAsia="zh-CN"/>
        </w:rPr>
        <w:t>（五）限期内整改不及时、不到位的；</w:t>
      </w:r>
    </w:p>
    <w:p w14:paraId="2E91CBC6">
      <w:pPr>
        <w:pStyle w:val="10"/>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lang w:eastAsia="zh-CN"/>
        </w:rPr>
        <w:t>（六）专业评估结果为不合格的；</w:t>
      </w:r>
    </w:p>
    <w:p w14:paraId="2E28C6DA">
      <w:pPr>
        <w:pStyle w:val="10"/>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lang w:eastAsia="zh-CN"/>
        </w:rPr>
        <w:t>（七）财务评估结果为不合格的；</w:t>
      </w:r>
    </w:p>
    <w:p w14:paraId="2FF471AD">
      <w:pPr>
        <w:pStyle w:val="10"/>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lang w:eastAsia="zh-CN"/>
        </w:rPr>
        <w:t>（八）违反国家法律法规及有关规定的其他情形，情节严重的。</w:t>
      </w:r>
    </w:p>
    <w:p w14:paraId="52292FFD">
      <w:pPr>
        <w:pStyle w:val="10"/>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二、评估总结</w:t>
      </w:r>
    </w:p>
    <w:p w14:paraId="4D977ED5">
      <w:pPr>
        <w:pStyle w:val="12"/>
        <w:pageBreakBefore w:val="0"/>
        <w:widowControl w:val="0"/>
        <w:kinsoku/>
        <w:wordWrap/>
        <w:overflowPunct/>
        <w:topLinePunct w:val="0"/>
        <w:autoSpaceDE/>
        <w:autoSpaceDN/>
        <w:bidi w:val="0"/>
        <w:adjustRightInd/>
        <w:snapToGrid/>
        <w:spacing w:after="0" w:line="56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（―）社工站基本情况</w:t>
      </w:r>
    </w:p>
    <w:p w14:paraId="3F901527">
      <w:pPr>
        <w:pStyle w:val="12"/>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color w:val="auto"/>
          <w:sz w:val="32"/>
          <w:szCs w:val="32"/>
          <w:highlight w:val="yellow"/>
        </w:rPr>
      </w:pPr>
      <w:r>
        <w:rPr>
          <w:rFonts w:hint="eastAsia" w:ascii="仿宋_GB2312" w:eastAsia="仿宋_GB2312"/>
          <w:color w:val="auto"/>
          <w:sz w:val="32"/>
          <w:szCs w:val="32"/>
          <w:lang w:eastAsia="zh-CN"/>
        </w:rPr>
        <w:t>南村镇西片</w:t>
      </w:r>
      <w:r>
        <w:rPr>
          <w:rFonts w:hint="eastAsia" w:ascii="仿宋_GB2312" w:eastAsia="仿宋_GB2312"/>
          <w:color w:val="auto"/>
          <w:sz w:val="32"/>
          <w:szCs w:val="32"/>
        </w:rPr>
        <w:t>社工站位于</w:t>
      </w:r>
      <w:r>
        <w:rPr>
          <w:rFonts w:hint="eastAsia" w:ascii="仿宋_GB2312" w:eastAsia="仿宋_GB2312"/>
          <w:color w:val="auto"/>
          <w:sz w:val="32"/>
          <w:szCs w:val="32"/>
          <w:lang w:val="en-US" w:eastAsia="zh-CN"/>
        </w:rPr>
        <w:t>番禺区南村镇里仁洞村占贤大道1-2号和谐家园三楼，</w:t>
      </w:r>
      <w:r>
        <w:rPr>
          <w:rFonts w:hint="eastAsia" w:ascii="仿宋_GB2312" w:eastAsia="仿宋_GB2312"/>
          <w:color w:val="auto"/>
          <w:sz w:val="32"/>
          <w:szCs w:val="32"/>
        </w:rPr>
        <w:t>于</w:t>
      </w:r>
      <w:r>
        <w:rPr>
          <w:rFonts w:hint="eastAsia" w:ascii="仿宋_GB2312" w:eastAsia="仿宋_GB2312"/>
          <w:color w:val="auto"/>
          <w:sz w:val="32"/>
          <w:szCs w:val="32"/>
          <w:lang w:val="en-US" w:eastAsia="zh-CN"/>
        </w:rPr>
        <w:t>2023</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15日</w:t>
      </w:r>
      <w:r>
        <w:rPr>
          <w:rFonts w:hint="eastAsia" w:ascii="仿宋_GB2312" w:eastAsia="仿宋_GB2312"/>
          <w:color w:val="auto"/>
          <w:sz w:val="32"/>
          <w:szCs w:val="32"/>
        </w:rPr>
        <w:t>开始，由广州市</w:t>
      </w:r>
      <w:r>
        <w:rPr>
          <w:rFonts w:hint="eastAsia" w:ascii="仿宋_GB2312" w:eastAsia="仿宋_GB2312"/>
          <w:color w:val="auto"/>
          <w:sz w:val="32"/>
          <w:szCs w:val="32"/>
          <w:lang w:val="en-US" w:eastAsia="zh-CN"/>
        </w:rPr>
        <w:t>南沙区百民社会工作服务中心</w:t>
      </w:r>
      <w:r>
        <w:rPr>
          <w:rFonts w:hint="eastAsia" w:ascii="仿宋_GB2312" w:eastAsia="仿宋_GB2312"/>
          <w:color w:val="auto"/>
          <w:sz w:val="32"/>
          <w:szCs w:val="32"/>
        </w:rPr>
        <w:t>负责运营。</w:t>
      </w:r>
      <w:r>
        <w:rPr>
          <w:rFonts w:hint="eastAsia" w:ascii="仿宋_GB2312" w:eastAsia="仿宋_GB2312"/>
          <w:color w:val="auto"/>
          <w:sz w:val="32"/>
          <w:szCs w:val="32"/>
          <w:lang w:val="en-US" w:eastAsia="zh-CN"/>
        </w:rPr>
        <w:t>南村镇西片</w:t>
      </w:r>
      <w:r>
        <w:rPr>
          <w:rFonts w:hint="eastAsia" w:ascii="仿宋_GB2312" w:eastAsia="仿宋_GB2312"/>
          <w:color w:val="auto"/>
          <w:sz w:val="32"/>
          <w:szCs w:val="32"/>
        </w:rPr>
        <w:t>社工站主要服务包括：</w:t>
      </w:r>
      <w:r>
        <w:rPr>
          <w:rFonts w:hint="eastAsia" w:ascii="仿宋_GB2312" w:eastAsia="仿宋_GB2312"/>
          <w:color w:val="auto"/>
          <w:sz w:val="32"/>
          <w:szCs w:val="32"/>
          <w:highlight w:val="none"/>
        </w:rPr>
        <w:t>党建引领服务、兜底性民生服务、基础性民生服务、普惠性民生服务四大板块。</w:t>
      </w:r>
    </w:p>
    <w:p w14:paraId="7320D393">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rPr>
      </w:pPr>
      <w:r>
        <w:rPr>
          <w:rFonts w:hint="eastAsia" w:ascii="仿宋_GB2312" w:eastAsia="仿宋_GB2312"/>
          <w:sz w:val="32"/>
          <w:szCs w:val="32"/>
        </w:rPr>
        <w:t>截至</w:t>
      </w:r>
      <w:r>
        <w:rPr>
          <w:rFonts w:hint="eastAsia" w:ascii="仿宋_GB2312" w:eastAsia="仿宋_GB2312"/>
          <w:sz w:val="32"/>
          <w:szCs w:val="32"/>
          <w:lang w:eastAsia="zh-CN"/>
        </w:rPr>
        <w:t>202</w:t>
      </w:r>
      <w:r>
        <w:rPr>
          <w:rFonts w:hint="eastAsia" w:ascii="仿宋_GB2312" w:eastAsia="仿宋_GB2312"/>
          <w:sz w:val="32"/>
          <w:szCs w:val="32"/>
          <w:lang w:val="en-US" w:eastAsia="zh-CN"/>
        </w:rPr>
        <w:t>5</w:t>
      </w:r>
      <w:r>
        <w:rPr>
          <w:rFonts w:hint="eastAsia" w:ascii="仿宋_GB2312" w:eastAsia="仿宋_GB2312"/>
          <w:sz w:val="32"/>
          <w:szCs w:val="32"/>
          <w:lang w:eastAsia="zh-CN"/>
        </w:rPr>
        <w:t>年</w:t>
      </w:r>
      <w:r>
        <w:rPr>
          <w:rFonts w:hint="eastAsia" w:ascii="仿宋_GB2312" w:eastAsia="仿宋_GB2312"/>
          <w:sz w:val="32"/>
          <w:szCs w:val="32"/>
          <w:lang w:val="en-US" w:eastAsia="zh-CN"/>
        </w:rPr>
        <w:t>7</w:t>
      </w:r>
      <w:r>
        <w:rPr>
          <w:rFonts w:hint="eastAsia" w:ascii="仿宋_GB2312" w:eastAsia="仿宋_GB2312"/>
          <w:sz w:val="32"/>
          <w:szCs w:val="32"/>
          <w:lang w:eastAsia="zh-CN"/>
        </w:rPr>
        <w:t>月</w:t>
      </w:r>
      <w:r>
        <w:rPr>
          <w:rFonts w:hint="eastAsia" w:ascii="仿宋_GB2312" w:hAnsi="Times New Roman" w:eastAsia="仿宋_GB2312" w:cs="Times New Roman"/>
          <w:sz w:val="32"/>
          <w:szCs w:val="32"/>
          <w:lang w:val="en-US" w:eastAsia="zh-CN" w:bidi="en-US"/>
        </w:rPr>
        <w:t xml:space="preserve"> ，</w:t>
      </w:r>
      <w:r>
        <w:rPr>
          <w:rFonts w:hint="eastAsia" w:ascii="仿宋_GB2312" w:eastAsia="仿宋_GB2312"/>
          <w:sz w:val="32"/>
          <w:szCs w:val="32"/>
        </w:rPr>
        <w:t>社工站配备工作人员</w:t>
      </w:r>
      <w:r>
        <w:rPr>
          <w:rFonts w:hint="eastAsia" w:ascii="仿宋_GB2312" w:eastAsia="仿宋_GB2312"/>
          <w:sz w:val="32"/>
          <w:szCs w:val="32"/>
          <w:lang w:val="en-US" w:eastAsia="zh-CN"/>
        </w:rPr>
        <w:t>21</w:t>
      </w:r>
      <w:r>
        <w:rPr>
          <w:rFonts w:hint="eastAsia" w:ascii="仿宋_GB2312" w:eastAsia="仿宋_GB2312"/>
          <w:sz w:val="32"/>
          <w:szCs w:val="32"/>
        </w:rPr>
        <w:t>名，其</w:t>
      </w:r>
      <w:r>
        <w:rPr>
          <w:rFonts w:hint="eastAsia" w:ascii="仿宋_GB2312" w:eastAsia="仿宋_GB2312"/>
          <w:sz w:val="32"/>
          <w:szCs w:val="32"/>
          <w:lang w:eastAsia="zh-CN"/>
        </w:rPr>
        <w:t>中</w:t>
      </w:r>
      <w:r>
        <w:rPr>
          <w:rFonts w:hint="eastAsia" w:ascii="仿宋_GB2312" w:eastAsia="仿宋_GB2312"/>
          <w:sz w:val="32"/>
          <w:szCs w:val="32"/>
        </w:rPr>
        <w:t>社工专业人员</w:t>
      </w:r>
      <w:r>
        <w:rPr>
          <w:rFonts w:hint="eastAsia" w:ascii="仿宋_GB2312" w:eastAsia="仿宋_GB2312"/>
          <w:sz w:val="32"/>
          <w:szCs w:val="32"/>
          <w:lang w:val="en-US" w:eastAsia="zh-CN"/>
        </w:rPr>
        <w:t>18</w:t>
      </w:r>
      <w:r>
        <w:rPr>
          <w:rFonts w:hint="eastAsia" w:ascii="仿宋_GB2312" w:eastAsia="仿宋_GB2312"/>
          <w:sz w:val="32"/>
          <w:szCs w:val="32"/>
        </w:rPr>
        <w:t>名（</w:t>
      </w:r>
      <w:r>
        <w:rPr>
          <w:rFonts w:hint="eastAsia" w:ascii="仿宋_GB2312" w:eastAsia="仿宋_GB2312"/>
          <w:sz w:val="32"/>
          <w:szCs w:val="32"/>
          <w:lang w:val="en-US" w:eastAsia="zh-CN"/>
        </w:rPr>
        <w:t>3</w:t>
      </w:r>
      <w:r>
        <w:rPr>
          <w:rFonts w:hint="eastAsia" w:ascii="仿宋_GB2312" w:eastAsia="仿宋_GB2312"/>
          <w:sz w:val="32"/>
          <w:szCs w:val="32"/>
        </w:rPr>
        <w:t>名</w:t>
      </w:r>
      <w:r>
        <w:rPr>
          <w:rFonts w:hint="eastAsia" w:ascii="仿宋_GB2312" w:eastAsia="仿宋_GB2312"/>
          <w:sz w:val="32"/>
          <w:szCs w:val="32"/>
          <w:lang w:eastAsia="zh-CN"/>
        </w:rPr>
        <w:t>中</w:t>
      </w:r>
      <w:r>
        <w:rPr>
          <w:rFonts w:hint="eastAsia" w:ascii="仿宋_GB2312" w:eastAsia="仿宋_GB2312"/>
          <w:sz w:val="32"/>
          <w:szCs w:val="32"/>
        </w:rPr>
        <w:t>级社工师，</w:t>
      </w:r>
      <w:r>
        <w:rPr>
          <w:rFonts w:hint="eastAsia" w:ascii="仿宋_GB2312" w:eastAsia="仿宋_GB2312"/>
          <w:sz w:val="32"/>
          <w:szCs w:val="32"/>
          <w:lang w:val="en-US" w:eastAsia="zh-CN"/>
        </w:rPr>
        <w:t>15</w:t>
      </w:r>
      <w:r>
        <w:rPr>
          <w:rFonts w:hint="eastAsia" w:ascii="仿宋_GB2312" w:eastAsia="仿宋_GB2312"/>
          <w:sz w:val="32"/>
          <w:szCs w:val="32"/>
        </w:rPr>
        <w:t>名助理社工师），</w:t>
      </w:r>
      <w:r>
        <w:rPr>
          <w:rFonts w:hint="eastAsia" w:ascii="仿宋_GB2312" w:eastAsia="仿宋_GB2312"/>
          <w:sz w:val="32"/>
          <w:szCs w:val="32"/>
          <w:lang w:val="en-US" w:eastAsia="zh-CN"/>
        </w:rPr>
        <w:t>其他</w:t>
      </w:r>
      <w:r>
        <w:rPr>
          <w:rFonts w:hint="eastAsia" w:ascii="仿宋_GB2312" w:eastAsia="仿宋_GB2312"/>
          <w:sz w:val="32"/>
          <w:szCs w:val="32"/>
        </w:rPr>
        <w:t>人员</w:t>
      </w:r>
      <w:r>
        <w:rPr>
          <w:rFonts w:hint="eastAsia" w:ascii="仿宋_GB2312" w:eastAsia="仿宋_GB2312"/>
          <w:sz w:val="32"/>
          <w:szCs w:val="32"/>
          <w:lang w:val="en-US" w:eastAsia="zh-CN"/>
        </w:rPr>
        <w:t>3</w:t>
      </w:r>
      <w:r>
        <w:rPr>
          <w:rFonts w:hint="eastAsia" w:ascii="仿宋_GB2312" w:eastAsia="仿宋_GB2312"/>
          <w:sz w:val="32"/>
          <w:szCs w:val="32"/>
        </w:rPr>
        <w:t>名。此外，社工站配备督导</w:t>
      </w:r>
      <w:r>
        <w:rPr>
          <w:rFonts w:hint="eastAsia" w:ascii="仿宋_GB2312" w:eastAsia="仿宋_GB2312"/>
          <w:sz w:val="32"/>
          <w:szCs w:val="32"/>
          <w:lang w:val="en-US" w:eastAsia="zh-CN"/>
        </w:rPr>
        <w:t>3</w:t>
      </w:r>
      <w:r>
        <w:rPr>
          <w:rFonts w:hint="eastAsia" w:ascii="仿宋_GB2312" w:eastAsia="仿宋_GB2312"/>
          <w:sz w:val="32"/>
          <w:szCs w:val="32"/>
        </w:rPr>
        <w:t>名</w:t>
      </w:r>
      <w:r>
        <w:rPr>
          <w:rFonts w:hint="eastAsia" w:ascii="仿宋_GB2312" w:eastAsia="仿宋_GB2312"/>
          <w:sz w:val="32"/>
          <w:szCs w:val="32"/>
          <w:lang w:eastAsia="zh-CN"/>
        </w:rPr>
        <w:t>，</w:t>
      </w:r>
      <w:r>
        <w:rPr>
          <w:rFonts w:hint="eastAsia" w:ascii="仿宋_GB2312" w:eastAsia="仿宋_GB2312"/>
          <w:sz w:val="32"/>
          <w:szCs w:val="32"/>
        </w:rPr>
        <w:t>从事社会服务</w:t>
      </w:r>
      <w:r>
        <w:rPr>
          <w:rFonts w:hint="eastAsia" w:ascii="仿宋_GB2312" w:hAnsi="Times New Roman" w:eastAsia="仿宋_GB2312" w:cs="Times New Roman"/>
          <w:sz w:val="32"/>
          <w:szCs w:val="32"/>
          <w:lang w:val="en-US" w:eastAsia="zh-CN"/>
        </w:rPr>
        <w:t>7</w:t>
      </w:r>
      <w:r>
        <w:rPr>
          <w:rFonts w:hint="eastAsia" w:ascii="仿宋_GB2312" w:eastAsia="仿宋_GB2312"/>
          <w:sz w:val="32"/>
          <w:szCs w:val="32"/>
        </w:rPr>
        <w:t>年以上。</w:t>
      </w:r>
    </w:p>
    <w:p w14:paraId="50AA3B0F">
      <w:pPr>
        <w:pStyle w:val="12"/>
        <w:pageBreakBefore w:val="0"/>
        <w:widowControl w:val="0"/>
        <w:kinsoku/>
        <w:wordWrap/>
        <w:overflowPunct/>
        <w:topLinePunct w:val="0"/>
        <w:autoSpaceDE/>
        <w:autoSpaceDN/>
        <w:bidi w:val="0"/>
        <w:adjustRightInd/>
        <w:snapToGrid/>
        <w:spacing w:after="0" w:line="560" w:lineRule="exact"/>
        <w:ind w:firstLine="601"/>
        <w:jc w:val="both"/>
        <w:textAlignment w:val="auto"/>
        <w:rPr>
          <w:rFonts w:ascii="仿宋_GB2312" w:eastAsia="仿宋_GB2312"/>
          <w:color w:val="auto"/>
          <w:sz w:val="32"/>
          <w:szCs w:val="32"/>
        </w:rPr>
      </w:pPr>
      <w:r>
        <w:rPr>
          <w:rFonts w:hint="eastAsia" w:ascii="仿宋_GB2312" w:eastAsia="仿宋_GB2312"/>
          <w:sz w:val="32"/>
          <w:szCs w:val="32"/>
        </w:rPr>
        <w:t>本社工站</w:t>
      </w:r>
      <w:r>
        <w:rPr>
          <w:rFonts w:hint="eastAsia" w:ascii="仿宋_GB2312" w:eastAsia="仿宋_GB2312"/>
          <w:sz w:val="32"/>
          <w:szCs w:val="32"/>
          <w:lang w:val="en-US" w:eastAsia="zh-CN"/>
        </w:rPr>
        <w:t>评估期限内</w:t>
      </w:r>
      <w:r>
        <w:rPr>
          <w:rFonts w:hint="eastAsia" w:ascii="仿宋_GB2312" w:eastAsia="仿宋_GB2312"/>
          <w:sz w:val="32"/>
          <w:szCs w:val="32"/>
        </w:rPr>
        <w:t>服务经费为</w:t>
      </w:r>
      <w:r>
        <w:rPr>
          <w:rFonts w:hint="eastAsia" w:ascii="仿宋_GB2312" w:eastAsia="仿宋_GB2312"/>
          <w:sz w:val="32"/>
          <w:szCs w:val="32"/>
          <w:highlight w:val="none"/>
          <w:lang w:val="en-US" w:eastAsia="zh-CN"/>
        </w:rPr>
        <w:t>240</w:t>
      </w:r>
      <w:r>
        <w:rPr>
          <w:rFonts w:hint="eastAsia" w:ascii="仿宋_GB2312" w:eastAsia="仿宋_GB2312"/>
          <w:sz w:val="32"/>
          <w:szCs w:val="32"/>
        </w:rPr>
        <w:t>万元，</w:t>
      </w:r>
      <w:r>
        <w:rPr>
          <w:rFonts w:hint="eastAsia" w:ascii="仿宋_GB2312" w:eastAsia="仿宋_GB2312"/>
          <w:color w:val="auto"/>
          <w:sz w:val="32"/>
          <w:szCs w:val="32"/>
        </w:rPr>
        <w:t>本社工站</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项目合同期为202</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15</w:t>
      </w:r>
      <w:r>
        <w:rPr>
          <w:rFonts w:hint="eastAsia" w:ascii="仿宋_GB2312" w:eastAsia="仿宋_GB2312"/>
          <w:color w:val="auto"/>
          <w:sz w:val="32"/>
          <w:szCs w:val="32"/>
        </w:rPr>
        <w:t>日至</w:t>
      </w:r>
      <w:r>
        <w:rPr>
          <w:rFonts w:hint="eastAsia" w:ascii="仿宋_GB2312" w:eastAsia="仿宋_GB2312"/>
          <w:color w:val="auto"/>
          <w:sz w:val="32"/>
          <w:szCs w:val="32"/>
          <w:lang w:eastAsia="zh-CN"/>
        </w:rPr>
        <w:t>202</w:t>
      </w:r>
      <w:r>
        <w:rPr>
          <w:rFonts w:hint="eastAsia" w:ascii="仿宋_GB2312" w:eastAsia="仿宋_GB2312"/>
          <w:color w:val="auto"/>
          <w:sz w:val="32"/>
          <w:szCs w:val="32"/>
          <w:lang w:val="en-US" w:eastAsia="zh-CN"/>
        </w:rPr>
        <w:t>5</w:t>
      </w:r>
      <w:r>
        <w:rPr>
          <w:rFonts w:hint="eastAsia" w:ascii="仿宋_GB2312" w:eastAsia="仿宋_GB2312"/>
          <w:color w:val="auto"/>
          <w:sz w:val="32"/>
          <w:szCs w:val="32"/>
          <w:lang w:eastAsia="zh-CN"/>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14</w:t>
      </w:r>
      <w:r>
        <w:rPr>
          <w:rFonts w:hint="eastAsia" w:ascii="仿宋_GB2312" w:eastAsia="仿宋_GB2312"/>
          <w:color w:val="auto"/>
          <w:sz w:val="32"/>
          <w:szCs w:val="32"/>
        </w:rPr>
        <w:t>日。本次考核期为2024年8月1</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日——2025年</w:t>
      </w:r>
      <w:r>
        <w:rPr>
          <w:rFonts w:hint="eastAsia" w:ascii="仿宋_GB2312" w:eastAsia="仿宋_GB2312"/>
          <w:color w:val="auto"/>
          <w:sz w:val="32"/>
          <w:szCs w:val="32"/>
          <w:lang w:val="en-US" w:eastAsia="zh-CN"/>
        </w:rPr>
        <w:t>7</w:t>
      </w:r>
      <w:r>
        <w:rPr>
          <w:rFonts w:hint="eastAsia" w:ascii="仿宋_GB2312" w:eastAsia="仿宋_GB2312"/>
          <w:color w:val="auto"/>
          <w:sz w:val="32"/>
          <w:szCs w:val="32"/>
        </w:rPr>
        <w:t>月31日，考核</w:t>
      </w:r>
      <w:r>
        <w:rPr>
          <w:rFonts w:hint="eastAsia" w:ascii="仿宋_GB2312" w:eastAsia="仿宋_GB2312"/>
          <w:color w:val="auto"/>
          <w:sz w:val="32"/>
          <w:szCs w:val="32"/>
          <w:lang w:val="en-US" w:eastAsia="zh-CN"/>
        </w:rPr>
        <w:t>11</w:t>
      </w:r>
      <w:r>
        <w:rPr>
          <w:rFonts w:hint="eastAsia" w:ascii="仿宋_GB2312" w:eastAsia="仿宋_GB2312"/>
          <w:color w:val="auto"/>
          <w:sz w:val="32"/>
          <w:szCs w:val="32"/>
        </w:rPr>
        <w:t>.5个月。</w:t>
      </w:r>
    </w:p>
    <w:p w14:paraId="3D5BA6BD">
      <w:pPr>
        <w:pStyle w:val="12"/>
        <w:pageBreakBefore w:val="0"/>
        <w:widowControl w:val="0"/>
        <w:kinsoku/>
        <w:wordWrap/>
        <w:overflowPunct/>
        <w:topLinePunct w:val="0"/>
        <w:autoSpaceDE/>
        <w:autoSpaceDN/>
        <w:bidi w:val="0"/>
        <w:adjustRightInd/>
        <w:snapToGrid/>
        <w:spacing w:after="0" w:line="56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（二）各项目服务进度情况</w:t>
      </w:r>
    </w:p>
    <w:p w14:paraId="283686DB">
      <w:pPr>
        <w:pStyle w:val="12"/>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社工站共完成家访2378人次，电访4402人次，完成协议指标量的182.92%、122.28%；个案接案24个、132节，完成协议指标量的100.00%、110.00%；完成小组6个、36节，完成协议指标量的100.00%、100.00%; 完成社区活动227次，服务17223人次，分别完成协议指标量的146.00%、337.00%；培育志愿者253名，志愿者骨干23名，培育志愿者队伍11支，分别完成指标的115.00%、164.29%、220.00%。（以上数据由社工站提供，各项目指标完成情况见附件1）。</w:t>
      </w:r>
    </w:p>
    <w:p w14:paraId="46802357">
      <w:pPr>
        <w:pStyle w:val="12"/>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从以上数据可知，南村镇西片社工站服务指标完成情况良好，在服务进度方面整体把握到位。</w:t>
      </w:r>
    </w:p>
    <w:p w14:paraId="551A5D9E">
      <w:pPr>
        <w:pStyle w:val="12"/>
        <w:pageBreakBefore w:val="0"/>
        <w:widowControl w:val="0"/>
        <w:kinsoku/>
        <w:wordWrap/>
        <w:overflowPunct/>
        <w:topLinePunct w:val="0"/>
        <w:autoSpaceDE/>
        <w:autoSpaceDN/>
        <w:bidi w:val="0"/>
        <w:adjustRightInd/>
        <w:snapToGrid/>
        <w:spacing w:after="80" w:line="560" w:lineRule="exact"/>
        <w:ind w:firstLine="740"/>
        <w:jc w:val="both"/>
        <w:textAlignment w:val="auto"/>
        <w:rPr>
          <w:rFonts w:ascii="仿宋_GB2312" w:eastAsia="仿宋_GB2312"/>
          <w:color w:val="auto"/>
          <w:sz w:val="32"/>
          <w:szCs w:val="32"/>
        </w:rPr>
      </w:pPr>
      <w:r>
        <w:rPr>
          <w:rFonts w:hint="eastAsia" w:ascii="仿宋_GB2312" w:eastAsia="仿宋_GB2312"/>
          <w:b/>
          <w:bCs/>
          <w:color w:val="auto"/>
          <w:sz w:val="32"/>
          <w:szCs w:val="32"/>
          <w:lang w:eastAsia="zh-CN"/>
        </w:rPr>
        <w:t>（三）</w:t>
      </w:r>
      <w:r>
        <w:rPr>
          <w:rFonts w:hint="eastAsia" w:ascii="仿宋_GB2312" w:eastAsia="仿宋_GB2312"/>
          <w:b/>
          <w:bCs/>
          <w:color w:val="auto"/>
          <w:sz w:val="32"/>
          <w:szCs w:val="32"/>
        </w:rPr>
        <w:t>项目运营管理</w:t>
      </w:r>
    </w:p>
    <w:p w14:paraId="10A68174">
      <w:pPr>
        <w:pStyle w:val="12"/>
        <w:pageBreakBefore w:val="0"/>
        <w:widowControl w:val="0"/>
        <w:kinsoku/>
        <w:wordWrap/>
        <w:overflowPunct/>
        <w:topLinePunct w:val="0"/>
        <w:autoSpaceDE/>
        <w:autoSpaceDN/>
        <w:bidi w:val="0"/>
        <w:adjustRightInd/>
        <w:snapToGrid/>
        <w:spacing w:after="0" w:line="56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通过与社工站主任、相关行政人员访谈，查阅相关资料等方式了解社工站运营管理情况，汇总成以下几点：</w:t>
      </w:r>
    </w:p>
    <w:p w14:paraId="0068F37A">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14:paraId="6441EFB9">
      <w:pPr>
        <w:pStyle w:val="12"/>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bookmarkStart w:id="15" w:name="bookmark31"/>
      <w:bookmarkEnd w:id="15"/>
      <w:r>
        <w:rPr>
          <w:rFonts w:hint="eastAsia" w:ascii="仿宋_GB2312" w:eastAsia="仿宋_GB2312"/>
          <w:color w:val="auto"/>
          <w:sz w:val="32"/>
          <w:szCs w:val="32"/>
          <w:lang w:val="en-US" w:eastAsia="zh-CN"/>
        </w:rPr>
        <w:t>（1）人员配备情况较好。截至2025年7月31日，社工站项目共配备社工21人，社工应到230人次，实到231.5人次，其中，持证社工18人，持证社工应到115人次，实到199.5人次，从业三年以上社工14人，占协议社工总人数的70%。人员考勤和继续教育工作比较到位。社工站项目负责人稳定在岗，自2016年2月起从事社工服务，2019年6月取得社会工作师职业水平证书，2023年8月起入职本机构任本社工站项目负责人，从事社工服务与管理累计年限6年，资质和资历符合相关要求。</w:t>
      </w:r>
    </w:p>
    <w:p w14:paraId="3E326C7A">
      <w:pPr>
        <w:pStyle w:val="12"/>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服务质量内控机制和持续改进机制清晰，运作情况良好，针对中期评估建议的改善工作较好。专业伦理价值规范的实践管理机制比较具体，指引性较强，项目周期内开展了两次的相关学习，定期对社工的实践表现进行评价，相关工作有落实。</w:t>
      </w:r>
    </w:p>
    <w:p w14:paraId="164F20D6">
      <w:pPr>
        <w:pStyle w:val="12"/>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项目宣传工作到位。项目能按年度宣传计划推进，通过线上线下的渠道进行服务资讯宣传和服务知识宣教，覆盖各村居。项目周期内获得羊城晚报、广州日报等官方媒体报道，其中《“善联+”：慈善服务有温度，联动支持见实效》等案例被《社会与公益》公众号刊载，扩大了服务影响力。</w:t>
      </w:r>
    </w:p>
    <w:p w14:paraId="6F37A26B">
      <w:pPr>
        <w:pStyle w:val="12"/>
        <w:pageBreakBefore w:val="0"/>
        <w:widowControl w:val="0"/>
        <w:tabs>
          <w:tab w:val="left" w:pos="1355"/>
        </w:tabs>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bCs/>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bookmarkStart w:id="16" w:name="bookmark38"/>
      <w:bookmarkEnd w:id="16"/>
      <w:bookmarkStart w:id="17" w:name="bookmark39"/>
      <w:bookmarkEnd w:id="17"/>
      <w:bookmarkStart w:id="18" w:name="bookmark37"/>
      <w:bookmarkEnd w:id="18"/>
      <w:bookmarkStart w:id="19" w:name="bookmark36"/>
      <w:bookmarkEnd w:id="19"/>
    </w:p>
    <w:p w14:paraId="342D4B65">
      <w:pPr>
        <w:pStyle w:val="12"/>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lang w:eastAsia="zh-CN"/>
        </w:rPr>
        <w:t>）持续在岗人数15人，稳岗率75%，未达到80%的要求。建议做好项目人员安排，加强团队建设，提高稳岗率。</w:t>
      </w:r>
    </w:p>
    <w:p w14:paraId="090CDF46">
      <w:pPr>
        <w:pStyle w:val="12"/>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bCs/>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lang w:eastAsia="zh-CN"/>
        </w:rPr>
        <w:t>）服务对象权益保障实践制度的部分内容与制度主题缺乏关联，投诉制度只确定了中心内部层级的投诉方式。建议修正服务对象权益保障机制实践性指引的内容，进一步建立完善三级投诉机制，保障各方权益。</w:t>
      </w:r>
    </w:p>
    <w:p w14:paraId="5D2D83E4">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（四）</w:t>
      </w:r>
      <w:r>
        <w:rPr>
          <w:rFonts w:hint="eastAsia" w:ascii="仿宋_GB2312" w:eastAsia="仿宋_GB2312"/>
          <w:b/>
          <w:bCs/>
          <w:color w:val="auto"/>
          <w:sz w:val="32"/>
          <w:szCs w:val="32"/>
        </w:rPr>
        <w:t>服务成效和服务监测情况</w:t>
      </w:r>
    </w:p>
    <w:p w14:paraId="76EA399D">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14:paraId="1E37404D">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bookmarkStart w:id="20" w:name="bookmark40"/>
      <w:bookmarkEnd w:id="20"/>
    </w:p>
    <w:p w14:paraId="1AA970A9">
      <w:pPr>
        <w:pStyle w:val="12"/>
        <w:pageBreakBefore w:val="0"/>
        <w:widowControl w:val="0"/>
        <w:kinsoku/>
        <w:wordWrap/>
        <w:overflowPunct/>
        <w:topLinePunct w:val="0"/>
        <w:autoSpaceDE/>
        <w:autoSpaceDN/>
        <w:bidi w:val="0"/>
        <w:adjustRightInd/>
        <w:snapToGrid/>
        <w:spacing w:after="80" w:line="56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1）南村镇西片社工服务站高度重视党建工作，通过“党课启航”强化党员教育监督。在支部层面，依托南村镇社会组织联合党支部开展党员教育，支部党员参加主题党日活动11次，“三会一课”15次；在社工站层面，组织全体社工开展了12次思想教育学习活动，积极筑牢思想防线，提高政治站位。通过“党心护航”开展政策宣传普及服务，完成34场党的政策精神线下宣传，发布44篇党建新闻稿，宣传服务覆盖4621人次。通过“党旗领航，红心益行”，与14个村居6家企业党组织共建，深化联动，链接资源折合39万余元，帮扶特殊困难群体，完成“百心向党”“三微”服务22场，为1100余名圆梦解忧。社工站现有党员社工6名，党员占比高、政治结构优，为践行党建引领服务奠定了坚实的基础。</w:t>
      </w:r>
    </w:p>
    <w:p w14:paraId="5F62C43C">
      <w:pPr>
        <w:pStyle w:val="12"/>
        <w:pageBreakBefore w:val="0"/>
        <w:widowControl w:val="0"/>
        <w:kinsoku/>
        <w:wordWrap/>
        <w:overflowPunct/>
        <w:topLinePunct w:val="0"/>
        <w:autoSpaceDE/>
        <w:autoSpaceDN/>
        <w:bidi w:val="0"/>
        <w:adjustRightInd/>
        <w:snapToGrid/>
        <w:spacing w:after="80" w:line="56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2）结合人口密度高、经济前景优、外来人口多和基础设施全的区域实际情况，结合新指标体系的服务导向，及时调整服务策略，搭建服务框架。以如何做到“兜得住、兜得全、兜得准”为服务核心目标，积极织密“三级联动网络”，形成了站层面“统筹架构+资源保障”、片层面“群体分类+模块服务”、点层面“个体识别+即时响应”，旨在确保系统服务设计能够落地服务执行，从全覆盖到精准化递进。服务设计逻辑缜密，三级架构重点突出，兜底保障坚实有力，值得肯定。其中，“善联+”五社联动慈善资源生态平台，依托“三单”管理流程，推动多元主体参与；五社联动“三百计划”，积极打造困境长者和儿童服务的特色品牌。</w:t>
      </w:r>
    </w:p>
    <w:p w14:paraId="3A3C2FD9">
      <w:pPr>
        <w:pStyle w:val="12"/>
        <w:pageBreakBefore w:val="0"/>
        <w:widowControl w:val="0"/>
        <w:kinsoku/>
        <w:wordWrap/>
        <w:overflowPunct/>
        <w:topLinePunct w:val="0"/>
        <w:autoSpaceDE/>
        <w:autoSpaceDN/>
        <w:bidi w:val="0"/>
        <w:adjustRightInd/>
        <w:snapToGrid/>
        <w:spacing w:after="80" w:line="560" w:lineRule="exact"/>
        <w:ind w:left="0" w:leftChars="0" w:firstLine="640" w:firstLineChars="200"/>
        <w:jc w:val="both"/>
        <w:textAlignment w:val="auto"/>
        <w:rPr>
          <w:rFonts w:hint="default"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3）站层面通过“建益仓护苗暖巢”，链接超40家组织资源，义剪义诊、赠图书、做社区适儿化改造，年度资源链接总额达106.8万元，体现“善联+”的积极成效；片层面发挥“五社联动”作用，推进“三百”服务计划，例如实施“百耆安康”服务，开展健康科普、慢病管理、陪医陪诊等服务，1595人次长者受益；点层面精准识别个体需求，实现1483位兜底群体全覆盖建档，同时注重风险分级服务需求，关注隐性需求，提高即时响应。通过站、片、点三级协调，织密织牢兜底保障网。本周期培育、联动了4个社区社会组织、3支老年志愿者队伍、8支志愿者队伍持续开展困难群众和特殊群体服务；此外，服务经验获得市级以上媒体报道183篇，获服务对象感谢信13封、视频7个、锦旗1面，评语20多条，服务有较高的社会美誉度。在服务满意度方面，通过电访、问卷调查等方式，共有119人接受了调查，其中117人满意度95%以上，综合满意度较高。</w:t>
      </w:r>
    </w:p>
    <w:p w14:paraId="38E7BA00">
      <w:pPr>
        <w:pStyle w:val="12"/>
        <w:pageBreakBefore w:val="0"/>
        <w:widowControl w:val="0"/>
        <w:kinsoku/>
        <w:wordWrap/>
        <w:overflowPunct/>
        <w:topLinePunct w:val="0"/>
        <w:autoSpaceDE/>
        <w:autoSpaceDN/>
        <w:bidi w:val="0"/>
        <w:adjustRightInd/>
        <w:snapToGrid/>
        <w:spacing w:after="80" w:line="56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14:paraId="036C0623">
      <w:pPr>
        <w:pStyle w:val="12"/>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经评委评估分析访谈情况和查阅项目调研、服务方案等各类服务工作痕迹记录资料，项目执行和成效总体情况有以下方面需关注：</w:t>
      </w:r>
      <w:bookmarkStart w:id="21" w:name="bookmark45"/>
      <w:bookmarkEnd w:id="21"/>
      <w:bookmarkStart w:id="22" w:name="bookmark43"/>
      <w:bookmarkEnd w:id="22"/>
      <w:bookmarkStart w:id="23" w:name="bookmark44"/>
      <w:bookmarkEnd w:id="23"/>
    </w:p>
    <w:p w14:paraId="59EAAA90">
      <w:pPr>
        <w:pStyle w:val="12"/>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党建工作方面：一是组织建设受较多因素影响，规范性方面仍需加强，“三会一课”“第一议题”在常态化制度化执行层面略显不严谨，特别是支委会研究的主题单一，功能发挥不完整，“第一议题”不能制度化实施；二是联合党支部覆盖组织数量较多，类型各异，区域跨度相对较大，在一定程度上制约了西片区社工站开展组织建设和组织生活的独立性，当前社工站党员数量已经具备成立党支部的条件，建议主动争取，创新形式建立项目党组织，进一步提高党建工作的自主性；三是社工站党员社工中有4位的组织关系与工作地分离，不利于按《中国共产党章程》要求，对党员开展教育、管理、监督和服务，建议关注解决，进一步提高党员管理的严肃性，建议根据《中国共产党支部工作条例（试行）》和《中国共产党党员教育管理工作条例》等要求，严格党员的教育、管理、监督和服务。</w:t>
      </w:r>
    </w:p>
    <w:p w14:paraId="303EA7CD">
      <w:pPr>
        <w:pStyle w:val="12"/>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基于需求调研情况和《广州市社工站购买服务项目服务清单（民政领域社会工作）》要求，服务计划依据尚不够充分，建议按照新标要求优化需求调研的方式方法，突出通过进村入户、走访交友、座谈交流、社区调查等方法等运用，并将问题摸清的结果与制定计划相匹配，进一步夯实依据，提高服务计划的针对性。与此同时，各个村居的“三图”绘制与摸清问题及评估导向的契合度不高，对服务的指导意义不强，建议调整需求调研的方式途径，深入社区，与居民建立关系，围绕困难群众和特殊群体问题和需求，绘制《社区资产地图》《社区问题地图》《服务对象社区分布地图》，依托兜底对象分布情况确定服务重点、方向和紧迫性，依托社区资源可利用情况匹配村居困难问题解决度。持续做好广州社工“红棉守护”热线后台服务记录，培育跟联动的社区社会组织、志愿者队伍需更聚焦在困难群众和特殊群体服务的需求上。</w:t>
      </w:r>
    </w:p>
    <w:p w14:paraId="6014490A">
      <w:pPr>
        <w:pStyle w:val="12"/>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特色亮点凝练略显分散，创新服务项目打造方面存在空白，尚有选择、融合和优化的空间。当前呈现的“善联+”和“三百”计划，一个在宏观层面、一个在中观层面，其本土性、创新性、可持续性均不够突出，且聚焦点较分散，建议将“兜底服务和社区慈善”两大主题做融合，整合服务积淀，兼顾机构优势和西片独有的商圈资源，准确选择介入点，集中站点资源着力打造，站、片、点贯穿设计，值得期待。</w:t>
      </w:r>
    </w:p>
    <w:p w14:paraId="71ADC200">
      <w:pPr>
        <w:pStyle w:val="12"/>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eastAsia="仿宋_GB2312"/>
          <w:b/>
          <w:bCs/>
          <w:color w:val="auto"/>
          <w:sz w:val="32"/>
          <w:szCs w:val="32"/>
        </w:rPr>
      </w:pPr>
      <w:r>
        <w:rPr>
          <w:rFonts w:hint="eastAsia" w:ascii="仿宋_GB2312" w:eastAsia="仿宋_GB2312"/>
          <w:b/>
          <w:bCs/>
          <w:color w:val="auto"/>
          <w:sz w:val="32"/>
          <w:szCs w:val="32"/>
          <w:lang w:eastAsia="zh-CN"/>
        </w:rPr>
        <w:t>（五）</w:t>
      </w:r>
      <w:r>
        <w:rPr>
          <w:rFonts w:hint="eastAsia" w:ascii="仿宋_GB2312" w:eastAsia="仿宋_GB2312"/>
          <w:b/>
          <w:bCs/>
          <w:color w:val="auto"/>
          <w:sz w:val="32"/>
          <w:szCs w:val="32"/>
        </w:rPr>
        <w:t>服务质量情况</w:t>
      </w:r>
    </w:p>
    <w:p w14:paraId="09283295">
      <w:pPr>
        <w:pStyle w:val="12"/>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华碧片区：华南碧桂园社区、锦绣香江社区、兴南社区、兴业社区</w:t>
      </w:r>
    </w:p>
    <w:p w14:paraId="218D5016">
      <w:pPr>
        <w:pStyle w:val="12"/>
        <w:pageBreakBefore w:val="0"/>
        <w:widowControl w:val="0"/>
        <w:kinsoku/>
        <w:wordWrap/>
        <w:overflowPunct/>
        <w:topLinePunct w:val="0"/>
        <w:autoSpaceDE/>
        <w:autoSpaceDN/>
        <w:bidi w:val="0"/>
        <w:adjustRightInd/>
        <w:snapToGrid/>
        <w:spacing w:after="80" w:line="56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1.值得肯定的地方</w:t>
      </w:r>
    </w:p>
    <w:p w14:paraId="705425A7">
      <w:pPr>
        <w:pStyle w:val="12"/>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p>
    <w:p w14:paraId="7E37E4BF">
      <w:pPr>
        <w:pStyle w:val="12"/>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eastAsia="zh-CN"/>
        </w:rPr>
      </w:pPr>
      <w:bookmarkStart w:id="24" w:name="bookmark48"/>
      <w:bookmarkEnd w:id="24"/>
      <w:bookmarkStart w:id="25" w:name="bookmark47"/>
      <w:bookmarkEnd w:id="25"/>
      <w:bookmarkStart w:id="26" w:name="bookmark46"/>
      <w:bookmarkEnd w:id="26"/>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困难群体</w:t>
      </w:r>
      <w:r>
        <w:rPr>
          <w:rFonts w:hint="eastAsia" w:ascii="仿宋_GB2312" w:eastAsia="仿宋_GB2312"/>
          <w:color w:val="auto"/>
          <w:sz w:val="32"/>
          <w:szCs w:val="32"/>
          <w:lang w:eastAsia="zh-CN"/>
        </w:rPr>
        <w:t>服务执行情况，目前华碧片区已完成建档311份，符合应建尽建的工作要求，实现了建档工作的全覆盖。其次，针对</w:t>
      </w:r>
      <w:r>
        <w:rPr>
          <w:rFonts w:hint="eastAsia" w:ascii="仿宋_GB2312" w:eastAsia="仿宋_GB2312"/>
          <w:color w:val="auto"/>
          <w:sz w:val="32"/>
          <w:szCs w:val="32"/>
          <w:lang w:val="en-US" w:eastAsia="zh-CN"/>
        </w:rPr>
        <w:t>困难群体</w:t>
      </w:r>
      <w:r>
        <w:rPr>
          <w:rFonts w:hint="eastAsia" w:ascii="仿宋_GB2312" w:eastAsia="仿宋_GB2312"/>
          <w:color w:val="auto"/>
          <w:sz w:val="32"/>
          <w:szCs w:val="32"/>
          <w:lang w:eastAsia="zh-CN"/>
        </w:rPr>
        <w:t>的个别化需求，社工通过完成电访1476人次，探访738人次等工作来做服务需求识别，并开展个案服务来为6位兜底对象或家属解决遇到的困难。</w:t>
      </w:r>
    </w:p>
    <w:p w14:paraId="49DEA0E3">
      <w:pPr>
        <w:pStyle w:val="12"/>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）资源链接工作方面取得较好的成效，本服务周期内通过联动多个类别的资源主体如企业、社会组织、学校等，共筹集物资等多类社区慈善资源折合人民币价值达到了19万多。</w:t>
      </w:r>
    </w:p>
    <w:p w14:paraId="0F15E018">
      <w:pPr>
        <w:pStyle w:val="12"/>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华碧片区社工的工作态度认真负责，服务获得服务对象的认可，曾多次收到服务对象的感谢信和锦旗；另外在专业服务方面，个案工作服务中可见社工收集信息全面，分析能力强，干预逻辑条理清晰，服务成效显著。</w:t>
      </w:r>
    </w:p>
    <w:p w14:paraId="7C32072A">
      <w:pPr>
        <w:pStyle w:val="12"/>
        <w:pageBreakBefore w:val="0"/>
        <w:widowControl w:val="0"/>
        <w:kinsoku/>
        <w:wordWrap/>
        <w:overflowPunct/>
        <w:topLinePunct w:val="0"/>
        <w:autoSpaceDE/>
        <w:autoSpaceDN/>
        <w:bidi w:val="0"/>
        <w:adjustRightInd/>
        <w:snapToGrid/>
        <w:spacing w:after="80" w:line="560" w:lineRule="exact"/>
        <w:ind w:firstLine="643" w:firstLineChars="2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14:paraId="7C6231C0">
      <w:pPr>
        <w:pStyle w:val="12"/>
        <w:pageBreakBefore w:val="0"/>
        <w:widowControl w:val="0"/>
        <w:kinsoku/>
        <w:wordWrap/>
        <w:overflowPunct/>
        <w:topLinePunct w:val="0"/>
        <w:autoSpaceDE/>
        <w:autoSpaceDN/>
        <w:bidi w:val="0"/>
        <w:adjustRightInd/>
        <w:snapToGrid/>
        <w:spacing w:after="0" w:line="560" w:lineRule="exact"/>
        <w:ind w:firstLine="580"/>
        <w:jc w:val="both"/>
        <w:textAlignment w:val="auto"/>
        <w:rPr>
          <w:rFonts w:hint="eastAsia"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经评委评估分析访谈情况和查阅项目调研、服务方案等各类服务工作痕迹记录资料，项目执行和成效总体情况有以下几方面需关注：</w:t>
      </w:r>
    </w:p>
    <w:p w14:paraId="61F68E89">
      <w:pPr>
        <w:pStyle w:val="12"/>
        <w:pageBreakBefore w:val="0"/>
        <w:widowControl w:val="0"/>
        <w:numPr>
          <w:ilvl w:val="0"/>
          <w:numId w:val="2"/>
        </w:numPr>
        <w:kinsoku/>
        <w:wordWrap/>
        <w:overflowPunct/>
        <w:topLinePunct w:val="0"/>
        <w:autoSpaceDE/>
        <w:autoSpaceDN/>
        <w:bidi w:val="0"/>
        <w:adjustRightInd/>
        <w:snapToGrid/>
        <w:spacing w:after="0" w:line="560" w:lineRule="exact"/>
        <w:ind w:firstLine="580"/>
        <w:jc w:val="both"/>
        <w:textAlignment w:val="auto"/>
        <w:rPr>
          <w:rFonts w:hint="eastAsia" w:ascii="仿宋_GB2312" w:eastAsia="仿宋_GB2312"/>
          <w:b w:val="0"/>
          <w:bCs w:val="0"/>
          <w:color w:val="auto"/>
          <w:sz w:val="32"/>
          <w:szCs w:val="32"/>
          <w:lang w:eastAsia="zh-CN"/>
        </w:rPr>
      </w:pPr>
      <w:r>
        <w:rPr>
          <w:rFonts w:hint="eastAsia" w:ascii="仿宋_GB2312" w:eastAsia="仿宋_GB2312"/>
          <w:color w:val="auto"/>
          <w:sz w:val="32"/>
          <w:szCs w:val="32"/>
          <w:lang w:val="en-US" w:eastAsia="zh-CN"/>
        </w:rPr>
        <w:t>困难群体</w:t>
      </w:r>
      <w:r>
        <w:rPr>
          <w:rFonts w:hint="eastAsia" w:ascii="仿宋_GB2312" w:eastAsia="仿宋_GB2312"/>
          <w:b w:val="0"/>
          <w:bCs w:val="0"/>
          <w:color w:val="auto"/>
          <w:sz w:val="32"/>
          <w:szCs w:val="32"/>
          <w:lang w:eastAsia="zh-CN"/>
        </w:rPr>
        <w:t>档案的信息准确性有待进一步加强。一是档案中存在不同表格中同一个信息不统一；</w:t>
      </w:r>
      <w:r>
        <w:rPr>
          <w:rFonts w:hint="eastAsia" w:ascii="仿宋_GB2312" w:eastAsia="仿宋_GB2312"/>
          <w:b w:val="0"/>
          <w:bCs w:val="0"/>
          <w:color w:val="auto"/>
          <w:sz w:val="32"/>
          <w:szCs w:val="32"/>
          <w:lang w:val="en-US" w:eastAsia="zh-CN"/>
        </w:rPr>
        <w:t>二</w:t>
      </w:r>
      <w:r>
        <w:rPr>
          <w:rFonts w:hint="eastAsia" w:ascii="仿宋_GB2312" w:eastAsia="仿宋_GB2312"/>
          <w:b w:val="0"/>
          <w:bCs w:val="0"/>
          <w:color w:val="auto"/>
          <w:sz w:val="32"/>
          <w:szCs w:val="32"/>
          <w:lang w:eastAsia="zh-CN"/>
        </w:rPr>
        <w:t>是新评估表的信息评定存在评级选项与实际不符的情况，选项不同会直接影响最终的等级评定和后续的跟进频次。因此要引起社工站的重视，做好评估等级准确性的检查工作。</w:t>
      </w:r>
    </w:p>
    <w:p w14:paraId="085B0F06">
      <w:pPr>
        <w:pStyle w:val="12"/>
        <w:pageBreakBefore w:val="0"/>
        <w:widowControl w:val="0"/>
        <w:numPr>
          <w:ilvl w:val="0"/>
          <w:numId w:val="2"/>
        </w:numPr>
        <w:kinsoku/>
        <w:wordWrap/>
        <w:overflowPunct/>
        <w:topLinePunct w:val="0"/>
        <w:autoSpaceDE/>
        <w:autoSpaceDN/>
        <w:bidi w:val="0"/>
        <w:adjustRightInd/>
        <w:snapToGrid/>
        <w:spacing w:after="0" w:line="560" w:lineRule="exact"/>
        <w:ind w:firstLine="580"/>
        <w:jc w:val="both"/>
        <w:textAlignment w:val="auto"/>
        <w:rPr>
          <w:rFonts w:hint="eastAsia" w:ascii="仿宋_GB2312" w:eastAsia="仿宋_GB2312"/>
          <w:b w:val="0"/>
          <w:bCs w:val="0"/>
          <w:color w:val="auto"/>
          <w:sz w:val="32"/>
          <w:szCs w:val="32"/>
          <w:lang w:eastAsia="zh-CN"/>
        </w:rPr>
      </w:pPr>
      <w:r>
        <w:rPr>
          <w:rFonts w:hint="eastAsia" w:ascii="仿宋_GB2312" w:eastAsia="仿宋_GB2312"/>
          <w:color w:val="auto"/>
          <w:sz w:val="32"/>
          <w:szCs w:val="32"/>
          <w:lang w:val="en-US" w:eastAsia="zh-CN"/>
        </w:rPr>
        <w:t>困难群体</w:t>
      </w:r>
      <w:r>
        <w:rPr>
          <w:rFonts w:hint="eastAsia" w:ascii="仿宋_GB2312" w:eastAsia="仿宋_GB2312"/>
          <w:b w:val="0"/>
          <w:bCs w:val="0"/>
          <w:color w:val="auto"/>
          <w:sz w:val="32"/>
          <w:szCs w:val="32"/>
          <w:lang w:eastAsia="zh-CN"/>
        </w:rPr>
        <w:t>的恒常服务跟进记录，较少记述有关服务对象的日常生活，身体状况，精神状态，人际关系，家庭互动等细节。建议日后在进行</w:t>
      </w:r>
      <w:r>
        <w:rPr>
          <w:rFonts w:hint="eastAsia" w:ascii="仿宋_GB2312" w:eastAsia="仿宋_GB2312"/>
          <w:b w:val="0"/>
          <w:bCs w:val="0"/>
          <w:color w:val="auto"/>
          <w:sz w:val="32"/>
          <w:szCs w:val="32"/>
          <w:lang w:val="en-US" w:eastAsia="zh-CN"/>
        </w:rPr>
        <w:t>电访、探访</w:t>
      </w:r>
      <w:r>
        <w:rPr>
          <w:rFonts w:hint="eastAsia" w:ascii="仿宋_GB2312" w:eastAsia="仿宋_GB2312"/>
          <w:b w:val="0"/>
          <w:bCs w:val="0"/>
          <w:color w:val="auto"/>
          <w:sz w:val="32"/>
          <w:szCs w:val="32"/>
          <w:lang w:eastAsia="zh-CN"/>
        </w:rPr>
        <w:t>服务时，社工需强化主动挖掘需求的意识，根据不同类型的</w:t>
      </w:r>
      <w:r>
        <w:rPr>
          <w:rFonts w:hint="eastAsia" w:ascii="仿宋_GB2312" w:eastAsia="仿宋_GB2312"/>
          <w:b w:val="0"/>
          <w:bCs w:val="0"/>
          <w:color w:val="auto"/>
          <w:sz w:val="32"/>
          <w:szCs w:val="32"/>
          <w:lang w:val="en-US" w:eastAsia="zh-CN"/>
        </w:rPr>
        <w:t>服务</w:t>
      </w:r>
      <w:r>
        <w:rPr>
          <w:rFonts w:hint="eastAsia" w:ascii="仿宋_GB2312" w:eastAsia="仿宋_GB2312"/>
          <w:b w:val="0"/>
          <w:bCs w:val="0"/>
          <w:color w:val="auto"/>
          <w:sz w:val="32"/>
          <w:szCs w:val="32"/>
          <w:lang w:eastAsia="zh-CN"/>
        </w:rPr>
        <w:t>对象有侧重点地去收集更为具体和详细的资料，并以提升生活质量、降低风险为目标，来设计服务计划。如老年群体可侧重健康管理、居家安全的信息收集，精神残疾人可侧重病情管理、病发风险等方面进行信息收集。</w:t>
      </w:r>
    </w:p>
    <w:p w14:paraId="0A16A659">
      <w:pPr>
        <w:pStyle w:val="12"/>
        <w:pageBreakBefore w:val="0"/>
        <w:widowControl w:val="0"/>
        <w:numPr>
          <w:ilvl w:val="0"/>
          <w:numId w:val="2"/>
        </w:numPr>
        <w:kinsoku/>
        <w:wordWrap/>
        <w:overflowPunct/>
        <w:topLinePunct w:val="0"/>
        <w:autoSpaceDE/>
        <w:autoSpaceDN/>
        <w:bidi w:val="0"/>
        <w:adjustRightInd/>
        <w:snapToGrid/>
        <w:spacing w:after="0" w:line="560" w:lineRule="exact"/>
        <w:ind w:firstLine="580"/>
        <w:jc w:val="both"/>
        <w:textAlignment w:val="auto"/>
        <w:rPr>
          <w:rFonts w:hint="eastAsia" w:ascii="仿宋_GB2312" w:eastAsia="仿宋_GB2312"/>
          <w:b/>
          <w:bCs/>
          <w:color w:val="auto"/>
          <w:sz w:val="32"/>
          <w:szCs w:val="32"/>
          <w:lang w:val="en-US" w:eastAsia="zh-CN"/>
        </w:rPr>
      </w:pPr>
      <w:r>
        <w:rPr>
          <w:rFonts w:hint="eastAsia" w:ascii="仿宋_GB2312" w:eastAsia="仿宋_GB2312"/>
          <w:b w:val="0"/>
          <w:bCs w:val="0"/>
          <w:color w:val="auto"/>
          <w:sz w:val="32"/>
          <w:szCs w:val="32"/>
          <w:lang w:eastAsia="zh-CN"/>
        </w:rPr>
        <w:t>活动的主要目标对象需要按照新标准要求，优先聚焦</w:t>
      </w:r>
      <w:r>
        <w:rPr>
          <w:rFonts w:hint="eastAsia" w:ascii="仿宋_GB2312" w:eastAsia="仿宋_GB2312"/>
          <w:color w:val="auto"/>
          <w:sz w:val="32"/>
          <w:szCs w:val="32"/>
          <w:lang w:val="en-US" w:eastAsia="zh-CN"/>
        </w:rPr>
        <w:t>困难</w:t>
      </w:r>
      <w:r>
        <w:rPr>
          <w:rFonts w:hint="eastAsia" w:ascii="仿宋_GB2312" w:eastAsia="仿宋_GB2312"/>
          <w:b w:val="0"/>
          <w:bCs w:val="0"/>
          <w:color w:val="auto"/>
          <w:sz w:val="32"/>
          <w:szCs w:val="32"/>
          <w:lang w:eastAsia="zh-CN"/>
        </w:rPr>
        <w:t>群体，提升活动中</w:t>
      </w:r>
      <w:r>
        <w:rPr>
          <w:rFonts w:hint="eastAsia" w:ascii="仿宋_GB2312" w:eastAsia="仿宋_GB2312"/>
          <w:color w:val="auto"/>
          <w:sz w:val="32"/>
          <w:szCs w:val="32"/>
          <w:lang w:val="en-US" w:eastAsia="zh-CN"/>
        </w:rPr>
        <w:t>困难群体</w:t>
      </w:r>
      <w:r>
        <w:rPr>
          <w:rFonts w:hint="eastAsia" w:ascii="仿宋_GB2312" w:eastAsia="仿宋_GB2312"/>
          <w:b w:val="0"/>
          <w:bCs w:val="0"/>
          <w:color w:val="auto"/>
          <w:sz w:val="32"/>
          <w:szCs w:val="32"/>
          <w:lang w:eastAsia="zh-CN"/>
        </w:rPr>
        <w:t>参与的比例。服务资源宜优先投放给</w:t>
      </w:r>
      <w:r>
        <w:rPr>
          <w:rFonts w:hint="eastAsia" w:ascii="仿宋_GB2312" w:eastAsia="仿宋_GB2312"/>
          <w:color w:val="auto"/>
          <w:sz w:val="32"/>
          <w:szCs w:val="32"/>
          <w:lang w:val="en-US" w:eastAsia="zh-CN"/>
        </w:rPr>
        <w:t>困难</w:t>
      </w:r>
      <w:r>
        <w:rPr>
          <w:rFonts w:hint="eastAsia" w:ascii="仿宋_GB2312" w:eastAsia="仿宋_GB2312"/>
          <w:b w:val="0"/>
          <w:bCs w:val="0"/>
          <w:color w:val="auto"/>
          <w:sz w:val="32"/>
          <w:szCs w:val="32"/>
          <w:lang w:eastAsia="zh-CN"/>
        </w:rPr>
        <w:t>群体，在有余力的情况下再开展普惠性服务。</w:t>
      </w:r>
    </w:p>
    <w:p w14:paraId="1321DCA3">
      <w:pPr>
        <w:pStyle w:val="12"/>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城中村</w:t>
      </w:r>
      <w:r>
        <w:rPr>
          <w:rFonts w:hint="eastAsia" w:ascii="仿宋_GB2312" w:eastAsia="仿宋_GB2312"/>
          <w:b/>
          <w:bCs/>
          <w:color w:val="auto"/>
          <w:sz w:val="32"/>
          <w:szCs w:val="32"/>
          <w:lang w:eastAsia="zh-CN"/>
        </w:rPr>
        <w:t>片区：</w:t>
      </w:r>
      <w:r>
        <w:rPr>
          <w:rFonts w:hint="eastAsia" w:ascii="仿宋_GB2312" w:eastAsia="仿宋_GB2312"/>
          <w:b/>
          <w:bCs/>
          <w:color w:val="auto"/>
          <w:sz w:val="32"/>
          <w:szCs w:val="32"/>
          <w:lang w:val="en-US" w:eastAsia="zh-CN"/>
        </w:rPr>
        <w:t>里仁洞村、员岗村、官堂村、江南村、塘步东村、塘埗西村</w:t>
      </w:r>
    </w:p>
    <w:p w14:paraId="560C8E51">
      <w:pPr>
        <w:pStyle w:val="12"/>
        <w:pageBreakBefore w:val="0"/>
        <w:widowControl w:val="0"/>
        <w:numPr>
          <w:ilvl w:val="0"/>
          <w:numId w:val="3"/>
        </w:numPr>
        <w:tabs>
          <w:tab w:val="left" w:pos="972"/>
        </w:tabs>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bookmarkStart w:id="27" w:name="bookmark57"/>
      <w:bookmarkEnd w:id="27"/>
      <w:r>
        <w:rPr>
          <w:rFonts w:hint="eastAsia" w:ascii="仿宋_GB2312" w:eastAsia="仿宋_GB2312"/>
          <w:b/>
          <w:bCs/>
          <w:color w:val="auto"/>
          <w:sz w:val="32"/>
          <w:szCs w:val="32"/>
        </w:rPr>
        <w:t>值得肯定的地方</w:t>
      </w:r>
    </w:p>
    <w:p w14:paraId="09D9F6A1">
      <w:pPr>
        <w:pStyle w:val="12"/>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经评委评估分析访谈情况和查阅项目调研、服务方案等各类服务工作痕迹记录资料，该项目以下几方面值得肯定：</w:t>
      </w:r>
      <w:bookmarkStart w:id="28" w:name="bookmark59"/>
      <w:bookmarkEnd w:id="28"/>
      <w:bookmarkStart w:id="29" w:name="bookmark58"/>
      <w:bookmarkEnd w:id="29"/>
    </w:p>
    <w:p w14:paraId="3B9302EA">
      <w:pPr>
        <w:pStyle w:val="12"/>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bookmarkStart w:id="30" w:name="bookmark60"/>
      <w:bookmarkEnd w:id="30"/>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片区</w:t>
      </w:r>
      <w:r>
        <w:rPr>
          <w:rFonts w:hint="eastAsia" w:ascii="仿宋_GB2312" w:eastAsia="仿宋_GB2312"/>
          <w:color w:val="auto"/>
          <w:sz w:val="32"/>
          <w:szCs w:val="32"/>
          <w:lang w:eastAsia="zh-CN"/>
        </w:rPr>
        <w:t>社工关注</w:t>
      </w:r>
      <w:r>
        <w:rPr>
          <w:rFonts w:hint="eastAsia" w:ascii="仿宋_GB2312" w:eastAsia="仿宋_GB2312"/>
          <w:color w:val="auto"/>
          <w:sz w:val="32"/>
          <w:szCs w:val="32"/>
          <w:lang w:val="en-US" w:eastAsia="zh-CN"/>
        </w:rPr>
        <w:t>困难群体</w:t>
      </w:r>
      <w:r>
        <w:rPr>
          <w:rFonts w:hint="eastAsia" w:ascii="仿宋_GB2312" w:eastAsia="仿宋_GB2312"/>
          <w:color w:val="auto"/>
          <w:sz w:val="32"/>
          <w:szCs w:val="32"/>
          <w:lang w:eastAsia="zh-CN"/>
        </w:rPr>
        <w:t>服务，制定困难群体和特殊群体跟进机制，为17类困难群众和特殊群体提供多种服务。各个社工点已经实现100%全覆盖建档，合计建档606户733人。社工对出现特殊情况的服务对象，能积极联动社区资源发挥作用，个案完成13个，列举《兜底群体问题解决》清单，问题解决涉及特殊儿童教育、资源链接、政策倡导、居家改造等，完成《特殊儿童教育支持案例》《独居孤寡长者挂号难就医难，社工就医陪诊暖人心》疑难案例，实现服务全覆盖，服务跟进仔细、到位、有效。</w:t>
      </w:r>
    </w:p>
    <w:p w14:paraId="48FA5E42">
      <w:pPr>
        <w:pStyle w:val="12"/>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片区</w:t>
      </w:r>
      <w:r>
        <w:rPr>
          <w:rFonts w:hint="eastAsia" w:ascii="仿宋_GB2312" w:eastAsia="仿宋_GB2312"/>
          <w:color w:val="auto"/>
          <w:sz w:val="32"/>
          <w:szCs w:val="32"/>
          <w:lang w:eastAsia="zh-CN"/>
        </w:rPr>
        <w:t>社工顺利完成所有指标，积极宣传民生政策内容以及链接资源能力强。社工通过链接暨南大学穗华口腔番禺万博园区等各家医疗机构资源以及南村总商会等社会组织资源，为51名困难群体提供微心愿服务，折合价值253209.70元，链接资源能力比较好。</w:t>
      </w:r>
    </w:p>
    <w:p w14:paraId="7904DDFB">
      <w:pPr>
        <w:pStyle w:val="12"/>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片区</w:t>
      </w:r>
      <w:r>
        <w:rPr>
          <w:rFonts w:hint="eastAsia" w:ascii="仿宋_GB2312" w:eastAsia="仿宋_GB2312"/>
          <w:color w:val="auto"/>
          <w:sz w:val="32"/>
          <w:szCs w:val="32"/>
          <w:lang w:eastAsia="zh-CN"/>
        </w:rPr>
        <w:t>社工积极按照</w:t>
      </w:r>
      <w:r>
        <w:rPr>
          <w:rFonts w:hint="eastAsia" w:ascii="仿宋_GB2312" w:eastAsia="仿宋_GB2312"/>
          <w:color w:val="auto"/>
          <w:sz w:val="32"/>
          <w:szCs w:val="32"/>
          <w:lang w:val="en-US" w:eastAsia="zh-CN"/>
        </w:rPr>
        <w:t>城中村</w:t>
      </w:r>
      <w:r>
        <w:rPr>
          <w:rFonts w:hint="eastAsia" w:ascii="仿宋_GB2312" w:eastAsia="仿宋_GB2312"/>
          <w:color w:val="auto"/>
          <w:sz w:val="32"/>
          <w:szCs w:val="32"/>
          <w:lang w:eastAsia="zh-CN"/>
        </w:rPr>
        <w:t>的特色，设计“百耆安康-困境长者健康管理服务”项目，聚焦困境长者就医难的问题，联动资源进行知识普及以及义诊、长者健康监测技能指导、情感陪护以及就医支持等服务，举行38场专项健康活动，服务超过1500人次，通过“专业引领+资源整合+社区参与”的服务模式，构建“预防－干预－支持”的健康管理体系，得到服务对象以及社区居委的认可，美誉度比较好。</w:t>
      </w:r>
    </w:p>
    <w:p w14:paraId="79B0EEEA">
      <w:pPr>
        <w:pStyle w:val="12"/>
        <w:pageBreakBefore w:val="0"/>
        <w:widowControl w:val="0"/>
        <w:tabs>
          <w:tab w:val="left" w:pos="98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color w:val="auto"/>
          <w:sz w:val="32"/>
          <w:szCs w:val="32"/>
        </w:rPr>
      </w:pPr>
      <w:r>
        <w:rPr>
          <w:rFonts w:hint="eastAsia" w:ascii="仿宋_GB2312" w:eastAsia="仿宋_GB2312"/>
          <w:b/>
          <w:bCs/>
          <w:color w:val="auto"/>
          <w:sz w:val="32"/>
          <w:szCs w:val="32"/>
          <w:lang w:val="en-US" w:eastAsia="zh-CN"/>
        </w:rPr>
        <w:t>2.</w:t>
      </w:r>
      <w:r>
        <w:rPr>
          <w:rFonts w:hint="eastAsia" w:ascii="仿宋_GB2312" w:eastAsia="仿宋_GB2312"/>
          <w:b/>
          <w:bCs/>
          <w:color w:val="auto"/>
          <w:sz w:val="32"/>
          <w:szCs w:val="32"/>
        </w:rPr>
        <w:t>需要关注的地方</w:t>
      </w:r>
    </w:p>
    <w:p w14:paraId="542D469F">
      <w:pPr>
        <w:pStyle w:val="12"/>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经评委评估分析访谈情况和查阅项目调研、个案服务等各类服务工作痕迹记录资料，该项目以下方面需关注：</w:t>
      </w:r>
    </w:p>
    <w:p w14:paraId="19D389C7">
      <w:pPr>
        <w:pStyle w:val="12"/>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eastAsia="zh-CN"/>
        </w:rPr>
      </w:pPr>
      <w:bookmarkStart w:id="31" w:name="bookmark61"/>
      <w:bookmarkEnd w:id="31"/>
      <w:bookmarkStart w:id="32" w:name="bookmark62"/>
      <w:bookmarkEnd w:id="32"/>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）建议片区继续增强</w:t>
      </w:r>
      <w:r>
        <w:rPr>
          <w:rFonts w:hint="eastAsia" w:ascii="仿宋_GB2312" w:eastAsia="仿宋_GB2312"/>
          <w:color w:val="auto"/>
          <w:sz w:val="32"/>
          <w:szCs w:val="32"/>
          <w:lang w:val="en-US" w:eastAsia="zh-CN"/>
        </w:rPr>
        <w:t>困难群体</w:t>
      </w:r>
      <w:r>
        <w:rPr>
          <w:rFonts w:hint="eastAsia" w:ascii="仿宋_GB2312" w:eastAsia="仿宋_GB2312"/>
          <w:color w:val="auto"/>
          <w:sz w:val="32"/>
          <w:szCs w:val="32"/>
          <w:lang w:eastAsia="zh-CN"/>
        </w:rPr>
        <w:t>服务的精准化程度。第一，要严格落实服务对象分级管理要求，根据《困难群众和特殊群体分级评估表》里面要求，对服务对象进行动态评价，根据他们随时的情况进行服务动态调整，如在周期内服务对象情况有变化，评级表以及服务计划都需要进行调整，需要将建档服务进一步精细化；第二，完善困难群众和特殊群体家庭基本情况表中的家庭成员基本情况（B版），家庭成员为照顾者需要填写B版表格，建议补充完成。</w:t>
      </w:r>
    </w:p>
    <w:p w14:paraId="72A0296C">
      <w:pPr>
        <w:pStyle w:val="12"/>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）建议细化</w:t>
      </w:r>
      <w:r>
        <w:rPr>
          <w:rFonts w:hint="eastAsia" w:ascii="仿宋_GB2312" w:eastAsia="仿宋_GB2312"/>
          <w:color w:val="auto"/>
          <w:sz w:val="32"/>
          <w:szCs w:val="32"/>
          <w:lang w:val="en-US" w:eastAsia="zh-CN"/>
        </w:rPr>
        <w:t>困难群体</w:t>
      </w:r>
      <w:r>
        <w:rPr>
          <w:rFonts w:hint="eastAsia" w:ascii="仿宋_GB2312" w:eastAsia="仿宋_GB2312"/>
          <w:color w:val="auto"/>
          <w:sz w:val="32"/>
          <w:szCs w:val="32"/>
          <w:lang w:eastAsia="zh-CN"/>
        </w:rPr>
        <w:t>服务的年度计划，重点呈现</w:t>
      </w:r>
      <w:r>
        <w:rPr>
          <w:rFonts w:hint="eastAsia" w:ascii="仿宋_GB2312" w:eastAsia="仿宋_GB2312"/>
          <w:color w:val="auto"/>
          <w:sz w:val="32"/>
          <w:szCs w:val="32"/>
          <w:lang w:val="en-US" w:eastAsia="zh-CN"/>
        </w:rPr>
        <w:t>困难群体的</w:t>
      </w:r>
      <w:r>
        <w:rPr>
          <w:rFonts w:hint="eastAsia" w:ascii="仿宋_GB2312" w:eastAsia="仿宋_GB2312"/>
          <w:color w:val="auto"/>
          <w:sz w:val="32"/>
          <w:szCs w:val="32"/>
          <w:lang w:eastAsia="zh-CN"/>
        </w:rPr>
        <w:t>服务成效。</w:t>
      </w:r>
      <w:r>
        <w:rPr>
          <w:rFonts w:hint="eastAsia" w:ascii="仿宋_GB2312" w:eastAsia="仿宋_GB2312"/>
          <w:color w:val="auto"/>
          <w:sz w:val="32"/>
          <w:szCs w:val="32"/>
          <w:lang w:val="en-US" w:eastAsia="zh-CN"/>
        </w:rPr>
        <w:t>一是</w:t>
      </w:r>
      <w:r>
        <w:rPr>
          <w:rFonts w:hint="eastAsia" w:ascii="仿宋_GB2312" w:eastAsia="仿宋_GB2312"/>
          <w:color w:val="auto"/>
          <w:sz w:val="32"/>
          <w:szCs w:val="32"/>
          <w:lang w:eastAsia="zh-CN"/>
        </w:rPr>
        <w:t>建议新周期按照标准，聚焦针对</w:t>
      </w:r>
      <w:r>
        <w:rPr>
          <w:rFonts w:hint="eastAsia" w:ascii="仿宋_GB2312" w:eastAsia="仿宋_GB2312"/>
          <w:color w:val="auto"/>
          <w:sz w:val="32"/>
          <w:szCs w:val="32"/>
          <w:lang w:val="en-US" w:eastAsia="zh-CN"/>
        </w:rPr>
        <w:t>困难群体</w:t>
      </w:r>
      <w:r>
        <w:rPr>
          <w:rFonts w:hint="eastAsia" w:ascii="仿宋_GB2312" w:eastAsia="仿宋_GB2312"/>
          <w:color w:val="auto"/>
          <w:sz w:val="32"/>
          <w:szCs w:val="32"/>
          <w:lang w:eastAsia="zh-CN"/>
        </w:rPr>
        <w:t>服务年度计划的内容，如围绕服务对象的环境、心理健康、社区支持等维度进行分析，将</w:t>
      </w:r>
      <w:r>
        <w:rPr>
          <w:rFonts w:hint="eastAsia" w:ascii="仿宋_GB2312" w:eastAsia="仿宋_GB2312"/>
          <w:color w:val="auto"/>
          <w:sz w:val="32"/>
          <w:szCs w:val="32"/>
          <w:lang w:val="en-US" w:eastAsia="zh-CN"/>
        </w:rPr>
        <w:t>服务对象</w:t>
      </w:r>
      <w:r>
        <w:rPr>
          <w:rFonts w:hint="eastAsia" w:ascii="仿宋_GB2312" w:eastAsia="仿宋_GB2312"/>
          <w:color w:val="auto"/>
          <w:sz w:val="32"/>
          <w:szCs w:val="32"/>
          <w:lang w:eastAsia="zh-CN"/>
        </w:rPr>
        <w:t>的需求进行排序后，进行成因分析，针对成因进行服务介入，细化针对</w:t>
      </w:r>
      <w:r>
        <w:rPr>
          <w:rFonts w:hint="eastAsia" w:ascii="仿宋_GB2312" w:eastAsia="仿宋_GB2312"/>
          <w:color w:val="auto"/>
          <w:sz w:val="32"/>
          <w:szCs w:val="32"/>
          <w:lang w:val="en-US" w:eastAsia="zh-CN"/>
        </w:rPr>
        <w:t>困难群体</w:t>
      </w:r>
      <w:r>
        <w:rPr>
          <w:rFonts w:hint="eastAsia" w:ascii="仿宋_GB2312" w:eastAsia="仿宋_GB2312"/>
          <w:color w:val="auto"/>
          <w:sz w:val="32"/>
          <w:szCs w:val="32"/>
          <w:lang w:eastAsia="zh-CN"/>
        </w:rPr>
        <w:t>服务的年度计划。</w:t>
      </w:r>
      <w:r>
        <w:rPr>
          <w:rFonts w:hint="eastAsia" w:ascii="仿宋_GB2312" w:eastAsia="仿宋_GB2312"/>
          <w:color w:val="auto"/>
          <w:sz w:val="32"/>
          <w:szCs w:val="32"/>
          <w:lang w:val="en-US" w:eastAsia="zh-CN"/>
        </w:rPr>
        <w:t>二是</w:t>
      </w:r>
      <w:r>
        <w:rPr>
          <w:rFonts w:hint="eastAsia" w:ascii="仿宋_GB2312" w:eastAsia="仿宋_GB2312"/>
          <w:color w:val="auto"/>
          <w:sz w:val="32"/>
          <w:szCs w:val="32"/>
          <w:lang w:eastAsia="zh-CN"/>
        </w:rPr>
        <w:t>要以更好的形式呈现成效，如“百耆安康-困境长者健康管理服务”项目可以从服务对象就医难问题前后对比的改善程度，志愿服务队伍的参与度以及链接资源程度呈现成效，可以增加小册子、视频等呈现形式。</w:t>
      </w:r>
    </w:p>
    <w:p w14:paraId="03A50461">
      <w:pPr>
        <w:pStyle w:val="12"/>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建议持续提升疑难案例的专业度。建议社工在进行疑难案例编写的过程中注意成效的分析，可以从个案个体系统身、心的改善情况，家庭系统的改善情况以及社区系统的改善情况几个维度进行成效分析，提升疑难案例的专业度。</w:t>
      </w:r>
    </w:p>
    <w:p w14:paraId="46F87CF0">
      <w:pPr>
        <w:pStyle w:val="12"/>
        <w:pageBreakBefore w:val="0"/>
        <w:widowControl w:val="0"/>
        <w:kinsoku/>
        <w:wordWrap/>
        <w:overflowPunct/>
        <w:topLinePunct w:val="0"/>
        <w:autoSpaceDE/>
        <w:autoSpaceDN/>
        <w:bidi w:val="0"/>
        <w:adjustRightInd/>
        <w:snapToGrid/>
        <w:spacing w:after="0" w:line="560" w:lineRule="exact"/>
        <w:ind w:left="0" w:leftChars="0" w:firstLine="643"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华新</w:t>
      </w:r>
      <w:r>
        <w:rPr>
          <w:rFonts w:hint="eastAsia" w:ascii="仿宋_GB2312" w:eastAsia="仿宋_GB2312"/>
          <w:b/>
          <w:bCs/>
          <w:color w:val="auto"/>
          <w:sz w:val="32"/>
          <w:szCs w:val="32"/>
          <w:lang w:eastAsia="zh-CN"/>
        </w:rPr>
        <w:t>片区：</w:t>
      </w:r>
      <w:r>
        <w:rPr>
          <w:rFonts w:hint="eastAsia" w:ascii="仿宋_GB2312" w:eastAsia="仿宋_GB2312"/>
          <w:b/>
          <w:bCs/>
          <w:color w:val="auto"/>
          <w:sz w:val="32"/>
          <w:szCs w:val="32"/>
          <w:lang w:val="en-US" w:eastAsia="zh-CN"/>
        </w:rPr>
        <w:t>华南新城社区、广地花园社区、星河湾东区社区、海怡半岛社区</w:t>
      </w:r>
    </w:p>
    <w:p w14:paraId="6F48BCD6">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14:paraId="44BC3002">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经评委评估分析访谈情况和查阅项目调研、服务方案等各类服务工作痕迹记录资料，该项目以下几方面值得肯定：</w:t>
      </w:r>
    </w:p>
    <w:p w14:paraId="5CD99349">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eastAsia="zh-CN"/>
        </w:rPr>
      </w:pPr>
      <w:bookmarkStart w:id="33" w:name="bookmark63"/>
      <w:bookmarkEnd w:id="33"/>
      <w:bookmarkStart w:id="34" w:name="bookmark64"/>
      <w:bookmarkEnd w:id="34"/>
      <w:bookmarkStart w:id="35" w:name="bookmark65"/>
      <w:bookmarkEnd w:id="35"/>
      <w:bookmarkStart w:id="36" w:name="bookmark66"/>
      <w:bookmarkEnd w:id="36"/>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华新片区的社工团队全员持证，具有较好的专业服务经验，团队对于片区基本情况（地域、环境、人口结构等）也较为熟悉了解。社工团队工作氛围好，整体精神面貌佳。团队根据镇提供的17类困难群众和特殊群体基本信息，逐人逐户进行了摸查，并依照服务对象需求评估情况进行了分级跟进。华新片区已完成235户338人的100%全覆盖建档。</w:t>
      </w:r>
    </w:p>
    <w:p w14:paraId="183962AE">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 xml:space="preserve">）华新片区社工团队能联动社区居委、企业、志愿者、慈善基金等社区内外资源，通过红棉守护热线、探访、电访、活动等服务方式，为困难群众和特殊群体提供了应急支援、资讯提供、情感支持和资源链接等服务，也得到了片区服务对象和合作方的肯定评价。 </w:t>
      </w:r>
    </w:p>
    <w:p w14:paraId="372E48A9">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华新片区社工团队的服务整体步骤完整，服务文书整理规范，服务指标完成度达到末期评估要求。同时，社工团队能针对上期评估意见进行服务的积极改进，在本次服务周期内，在一定程度上完善了服务需求评估工作和年度服务计划的撰写等工作。</w:t>
      </w:r>
    </w:p>
    <w:p w14:paraId="1F91CB2A">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14:paraId="5778FF9F">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经评委评估分析访谈情况和查阅项目调研、服务方案等各类服务工作痕迹记录资料，该项目以下几方面需关注：</w:t>
      </w:r>
    </w:p>
    <w:p w14:paraId="6DD04189">
      <w:pPr>
        <w:pStyle w:val="12"/>
        <w:pageBreakBefore w:val="0"/>
        <w:widowControl w:val="0"/>
        <w:kinsoku/>
        <w:wordWrap/>
        <w:overflowPunct/>
        <w:topLinePunct w:val="0"/>
        <w:autoSpaceDE/>
        <w:autoSpaceDN/>
        <w:bidi w:val="0"/>
        <w:adjustRightInd/>
        <w:snapToGrid/>
        <w:spacing w:after="0" w:line="560" w:lineRule="exact"/>
        <w:ind w:firstLine="740"/>
        <w:jc w:val="both"/>
        <w:textAlignment w:val="auto"/>
        <w:rPr>
          <w:rFonts w:hint="eastAsia" w:ascii="仿宋_GB2312" w:eastAsia="仿宋_GB2312"/>
          <w:color w:val="auto"/>
          <w:sz w:val="32"/>
          <w:szCs w:val="32"/>
          <w:lang w:eastAsia="zh-CN"/>
        </w:rPr>
      </w:pPr>
      <w:bookmarkStart w:id="37" w:name="bookmark69"/>
      <w:bookmarkEnd w:id="37"/>
      <w:bookmarkStart w:id="38" w:name="bookmark67"/>
      <w:bookmarkEnd w:id="38"/>
      <w:bookmarkStart w:id="39" w:name="bookmark68"/>
      <w:bookmarkEnd w:id="39"/>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进一步完善片区服务的需求评估。对于需求问题的分析更加明确、具体及深入，如片区目前困境长者、残障群体的社会支持状况是怎样的，社区支持网络应怎样构成，以能为随后的服务规划及服务实施带来更为明确及具体的指引。</w:t>
      </w:r>
    </w:p>
    <w:p w14:paraId="5F65647F">
      <w:pPr>
        <w:pStyle w:val="12"/>
        <w:pageBreakBefore w:val="0"/>
        <w:widowControl w:val="0"/>
        <w:kinsoku/>
        <w:wordWrap/>
        <w:overflowPunct/>
        <w:topLinePunct w:val="0"/>
        <w:autoSpaceDE/>
        <w:autoSpaceDN/>
        <w:bidi w:val="0"/>
        <w:adjustRightInd/>
        <w:snapToGrid/>
        <w:spacing w:after="0" w:line="560" w:lineRule="exact"/>
        <w:ind w:firstLine="74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进一步优化片区年度服务规划，一是建议在社区照顾的理念构建社区支持网络，并能进行阶段性的服务规划，增强年度服务目标达成的可行性。二是在服务规划的撰写中，应明确服务总目标与分目标的关系，区分服务内容与服务目标的差异，加强服务策略对于服务需求问题的回应。</w:t>
      </w:r>
    </w:p>
    <w:p w14:paraId="710C2A5D">
      <w:pPr>
        <w:pStyle w:val="12"/>
        <w:pageBreakBefore w:val="0"/>
        <w:widowControl w:val="0"/>
        <w:kinsoku/>
        <w:wordWrap/>
        <w:overflowPunct/>
        <w:topLinePunct w:val="0"/>
        <w:autoSpaceDE/>
        <w:autoSpaceDN/>
        <w:bidi w:val="0"/>
        <w:adjustRightInd/>
        <w:snapToGrid/>
        <w:spacing w:after="0" w:line="560" w:lineRule="exact"/>
        <w:ind w:firstLine="74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）进一步提升专业服务能力，</w:t>
      </w:r>
      <w:r>
        <w:rPr>
          <w:rFonts w:hint="eastAsia" w:ascii="仿宋_GB2312" w:eastAsia="仿宋_GB2312"/>
          <w:color w:val="auto"/>
          <w:sz w:val="32"/>
          <w:szCs w:val="32"/>
          <w:lang w:val="en-US" w:eastAsia="zh-CN"/>
        </w:rPr>
        <w:t>如</w:t>
      </w:r>
      <w:r>
        <w:rPr>
          <w:rFonts w:hint="eastAsia" w:ascii="仿宋_GB2312" w:eastAsia="仿宋_GB2312"/>
          <w:color w:val="auto"/>
          <w:sz w:val="32"/>
          <w:szCs w:val="32"/>
          <w:lang w:eastAsia="zh-CN"/>
        </w:rPr>
        <w:t>个案介入的深度、小组服务特点的发挥及服务资源的使用效率等。同时进一步完善17类困难</w:t>
      </w:r>
      <w:r>
        <w:rPr>
          <w:rFonts w:hint="eastAsia" w:ascii="仿宋_GB2312" w:eastAsia="仿宋_GB2312"/>
          <w:color w:val="auto"/>
          <w:sz w:val="32"/>
          <w:szCs w:val="32"/>
          <w:lang w:val="en-US" w:eastAsia="zh-CN"/>
        </w:rPr>
        <w:t>群体</w:t>
      </w:r>
      <w:r>
        <w:rPr>
          <w:rFonts w:hint="eastAsia" w:ascii="仿宋_GB2312" w:eastAsia="仿宋_GB2312"/>
          <w:color w:val="auto"/>
          <w:sz w:val="32"/>
          <w:szCs w:val="32"/>
          <w:lang w:eastAsia="zh-CN"/>
        </w:rPr>
        <w:t>、特殊群体的建档工作，基本情况信息的准确填写，服务跟进和记录对于需求问题的针对性回应等。</w:t>
      </w:r>
    </w:p>
    <w:p w14:paraId="553FAF7F">
      <w:pPr>
        <w:pStyle w:val="12"/>
        <w:pageBreakBefore w:val="0"/>
        <w:widowControl w:val="0"/>
        <w:kinsoku/>
        <w:wordWrap/>
        <w:overflowPunct/>
        <w:topLinePunct w:val="0"/>
        <w:autoSpaceDE/>
        <w:autoSpaceDN/>
        <w:bidi w:val="0"/>
        <w:adjustRightInd/>
        <w:snapToGrid/>
        <w:spacing w:after="0" w:line="56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（六）</w:t>
      </w:r>
      <w:r>
        <w:rPr>
          <w:rFonts w:hint="eastAsia" w:ascii="仿宋_GB2312" w:eastAsia="仿宋_GB2312"/>
          <w:b/>
          <w:bCs/>
          <w:color w:val="auto"/>
          <w:sz w:val="32"/>
          <w:szCs w:val="32"/>
        </w:rPr>
        <w:t>购买方反馈情况</w:t>
      </w:r>
    </w:p>
    <w:p w14:paraId="72B01BA9">
      <w:pPr>
        <w:pStyle w:val="12"/>
        <w:pageBreakBefore w:val="0"/>
        <w:widowControl w:val="0"/>
        <w:kinsoku/>
        <w:wordWrap/>
        <w:overflowPunct/>
        <w:topLinePunct w:val="0"/>
        <w:autoSpaceDE/>
        <w:autoSpaceDN/>
        <w:bidi w:val="0"/>
        <w:adjustRightInd/>
        <w:snapToGrid/>
        <w:spacing w:after="80" w:line="56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rPr>
        <w:t>1.值得肯定的地方</w:t>
      </w:r>
    </w:p>
    <w:p w14:paraId="6822DF53">
      <w:pPr>
        <w:pStyle w:val="12"/>
        <w:pageBreakBefore w:val="0"/>
        <w:widowControl w:val="0"/>
        <w:kinsoku/>
        <w:wordWrap/>
        <w:overflowPunct/>
        <w:topLinePunct w:val="0"/>
        <w:autoSpaceDE/>
        <w:autoSpaceDN/>
        <w:bidi w:val="0"/>
        <w:adjustRightInd/>
        <w:snapToGrid/>
        <w:spacing w:after="0" w:line="560" w:lineRule="exact"/>
        <w:ind w:firstLine="578"/>
        <w:jc w:val="both"/>
        <w:textAlignment w:val="auto"/>
        <w:rPr>
          <w:rFonts w:hint="default" w:ascii="仿宋_GB2312" w:eastAsia="仿宋_GB2312" w:hAnsiTheme="minorEastAsia"/>
          <w:color w:val="auto"/>
          <w:sz w:val="32"/>
          <w:szCs w:val="32"/>
          <w:lang w:val="en-US" w:eastAsia="zh-CN"/>
        </w:rPr>
      </w:pPr>
      <w:r>
        <w:rPr>
          <w:rFonts w:hint="eastAsia" w:ascii="仿宋_GB2312" w:eastAsia="仿宋_GB2312"/>
          <w:color w:val="auto"/>
          <w:sz w:val="32"/>
          <w:szCs w:val="32"/>
          <w:lang w:eastAsia="zh-CN"/>
        </w:rPr>
        <w:t>无</w:t>
      </w:r>
      <w:r>
        <w:rPr>
          <w:rFonts w:hint="eastAsia" w:ascii="仿宋_GB2312" w:eastAsia="仿宋_GB2312"/>
          <w:color w:val="auto"/>
          <w:sz w:val="32"/>
          <w:szCs w:val="32"/>
          <w:lang w:val="en-US" w:eastAsia="zh-CN"/>
        </w:rPr>
        <w:t>。</w:t>
      </w:r>
    </w:p>
    <w:p w14:paraId="50E98C87">
      <w:pPr>
        <w:pStyle w:val="12"/>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14:paraId="59AC1944">
      <w:pPr>
        <w:pStyle w:val="12"/>
        <w:pageBreakBefore w:val="0"/>
        <w:widowControl w:val="0"/>
        <w:kinsoku/>
        <w:wordWrap/>
        <w:overflowPunct/>
        <w:topLinePunct w:val="0"/>
        <w:autoSpaceDE/>
        <w:autoSpaceDN/>
        <w:bidi w:val="0"/>
        <w:adjustRightInd/>
        <w:snapToGrid/>
        <w:spacing w:after="0" w:line="560" w:lineRule="exact"/>
        <w:ind w:firstLine="740"/>
        <w:jc w:val="both"/>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rPr>
        <w:t>购买方（</w:t>
      </w:r>
      <w:r>
        <w:rPr>
          <w:rFonts w:hint="eastAsia" w:ascii="仿宋_GB2312" w:eastAsia="仿宋_GB2312"/>
          <w:color w:val="auto"/>
          <w:sz w:val="32"/>
          <w:szCs w:val="32"/>
          <w:lang w:val="en-US" w:eastAsia="zh-CN"/>
        </w:rPr>
        <w:t>南村镇人民政府</w:t>
      </w:r>
      <w:r>
        <w:rPr>
          <w:rFonts w:hint="eastAsia" w:ascii="仿宋_GB2312" w:eastAsia="仿宋_GB2312"/>
          <w:color w:val="auto"/>
          <w:sz w:val="32"/>
          <w:szCs w:val="32"/>
        </w:rPr>
        <w:t>）认为，社工站</w:t>
      </w:r>
      <w:r>
        <w:rPr>
          <w:rFonts w:hint="eastAsia" w:ascii="仿宋_GB2312" w:eastAsia="仿宋_GB2312"/>
          <w:color w:val="auto"/>
          <w:sz w:val="32"/>
          <w:szCs w:val="32"/>
          <w:lang w:eastAsia="zh-CN"/>
        </w:rPr>
        <w:t>加强与购买方的沟通协调水平，在</w:t>
      </w:r>
      <w:r>
        <w:rPr>
          <w:rFonts w:hint="eastAsia" w:ascii="仿宋_GB2312" w:eastAsia="仿宋_GB2312"/>
          <w:color w:val="auto"/>
          <w:sz w:val="32"/>
          <w:szCs w:val="32"/>
          <w:lang w:val="en-US" w:eastAsia="zh-CN"/>
        </w:rPr>
        <w:t>17类服务对象的成效上要体现再加强</w:t>
      </w:r>
      <w:r>
        <w:rPr>
          <w:rFonts w:hint="eastAsia" w:ascii="仿宋_GB2312" w:eastAsia="仿宋_GB2312"/>
          <w:color w:val="auto"/>
          <w:sz w:val="32"/>
          <w:szCs w:val="32"/>
          <w:lang w:eastAsia="zh-CN"/>
        </w:rPr>
        <w:t>。</w:t>
      </w:r>
    </w:p>
    <w:p w14:paraId="1006A018">
      <w:pPr>
        <w:pStyle w:val="12"/>
        <w:keepNext w:val="0"/>
        <w:keepLines w:val="0"/>
        <w:pageBreakBefore w:val="0"/>
        <w:widowControl w:val="0"/>
        <w:numPr>
          <w:ilvl w:val="0"/>
          <w:numId w:val="4"/>
        </w:numPr>
        <w:kinsoku/>
        <w:wordWrap/>
        <w:overflowPunct/>
        <w:topLinePunct w:val="0"/>
        <w:autoSpaceDE/>
        <w:autoSpaceDN/>
        <w:bidi w:val="0"/>
        <w:adjustRightInd/>
        <w:snapToGrid/>
        <w:spacing w:after="120" w:line="560" w:lineRule="exact"/>
        <w:ind w:firstLine="643" w:firstLineChars="200"/>
        <w:jc w:val="both"/>
        <w:textAlignment w:val="auto"/>
        <w:rPr>
          <w:rFonts w:hint="eastAsia" w:ascii="仿宋_GB2312" w:eastAsia="仿宋_GB2312"/>
          <w:b/>
          <w:bCs/>
          <w:sz w:val="32"/>
          <w:szCs w:val="32"/>
          <w:highlight w:val="none"/>
        </w:rPr>
      </w:pPr>
      <w:r>
        <w:rPr>
          <w:rFonts w:hint="eastAsia" w:ascii="仿宋_GB2312" w:eastAsia="仿宋_GB2312"/>
          <w:b/>
          <w:bCs/>
          <w:sz w:val="32"/>
          <w:szCs w:val="32"/>
          <w:highlight w:val="none"/>
        </w:rPr>
        <w:t>市督导中心反馈</w:t>
      </w:r>
    </w:p>
    <w:p w14:paraId="355D0972">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603F044F">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color w:val="auto"/>
          <w:sz w:val="32"/>
          <w:szCs w:val="32"/>
        </w:rPr>
        <w:t>服务方案</w:t>
      </w:r>
      <w:r>
        <w:rPr>
          <w:rFonts w:hint="eastAsia" w:ascii="仿宋_GB2312" w:eastAsia="仿宋_GB2312"/>
          <w:sz w:val="32"/>
          <w:szCs w:val="32"/>
        </w:rPr>
        <w:t>等各类服务工作痕迹记录资料，该项目以下几方面值得肯定：</w:t>
      </w:r>
    </w:p>
    <w:p w14:paraId="14572D7B">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w:t>
      </w:r>
      <w:r>
        <w:rPr>
          <w:rFonts w:hint="eastAsia" w:ascii="仿宋_GB2312" w:eastAsia="仿宋_GB2312"/>
          <w:sz w:val="32"/>
          <w:szCs w:val="32"/>
        </w:rPr>
        <w:t>项目结合中期评估的意见，完善了内部共学计划，列明了共学清单。除“双百”督导主导开展的主题共学外，内部督导每季度组织社工自主分享专业知识、实务经验等，常态化开展内部共学，促进社工总结服务经验，推动朋辈分享，营造了良好的学习氛围；项目重视对实施情况的监测，制定了较全面、可操作性强的监测机制，如制定工具套表落实相关监测，通过结果应用与产出检视阶段性成效。</w:t>
      </w:r>
    </w:p>
    <w:p w14:paraId="5532A72B">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w:t>
      </w:r>
      <w:r>
        <w:rPr>
          <w:rFonts w:hint="eastAsia" w:ascii="仿宋_GB2312" w:eastAsia="仿宋_GB2312"/>
          <w:sz w:val="32"/>
          <w:szCs w:val="32"/>
        </w:rPr>
        <w:t>项目社工扎实扩大人员协同力量。项目社工与各村（居）民政干部保持每周联系，畅通信息共享渠道，合作紧密。且制定了《双工联动合作机制》，推动“双工”保持每月联动合作。项目社工与事务性岗位社工开展政策宣传与落实、困难群众和特殊群体应急服务、复杂个案转介或联合介入等协同服务；与服务性岗位社工聚焦服务对象信息核对、入户走访、需求评估、建档立卡、服务宣传、慈善基金募捐以及个案服务等方面协同联动，尤其在联合介入疑难个案中有多个成功实践经验。项目重视日常联动的过程监督，建立台账跟进14个村（居）的联动服务落实情况，工作细致。</w:t>
      </w:r>
    </w:p>
    <w:p w14:paraId="7C32947F">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w:t>
      </w:r>
      <w:r>
        <w:rPr>
          <w:rFonts w:hint="eastAsia" w:ascii="仿宋_GB2312" w:eastAsia="仿宋_GB2312"/>
          <w:sz w:val="32"/>
          <w:szCs w:val="32"/>
        </w:rPr>
        <w:t>项目尝试在经验推广中有创新实践。结合中期评估意见，针对当前成果宣传产出不足的问题，为切实增强成果宣传的针对性与实效性，拟制定《项目疑难案例认定标准》，加强对社工的指引，为项目疑难案例的精准识别、界定提供统一规范的依据，进而为成果宣传提供优质、典型的案例素材，并有计划组织多方专业力量支持项目团队对服务案例进一步研讨与书写，助力提升项目成果宣传的质量与影响力，推动项目经验推广工作迈上新台阶。</w:t>
      </w:r>
    </w:p>
    <w:p w14:paraId="465C72C1">
      <w:pPr>
        <w:pStyle w:val="12"/>
        <w:pageBreakBefore w:val="0"/>
        <w:widowControl w:val="0"/>
        <w:kinsoku/>
        <w:wordWrap/>
        <w:overflowPunct/>
        <w:topLinePunct w:val="0"/>
        <w:autoSpaceDE/>
        <w:autoSpaceDN/>
        <w:bidi w:val="0"/>
        <w:adjustRightInd/>
        <w:snapToGrid/>
        <w:spacing w:after="0" w:line="560" w:lineRule="exact"/>
        <w:ind w:left="0" w:leftChars="0" w:firstLine="643" w:firstLineChars="200"/>
        <w:jc w:val="both"/>
        <w:textAlignment w:val="auto"/>
        <w:rPr>
          <w:rFonts w:ascii="仿宋_GB2312" w:hAnsi="Times New Roman" w:eastAsia="仿宋_GB2312" w:cs="Times New Roman"/>
          <w:b/>
          <w:bCs/>
          <w:color w:val="auto"/>
          <w:sz w:val="32"/>
          <w:szCs w:val="32"/>
          <w:lang w:val="zh-CN" w:eastAsia="zh-CN" w:bidi="zh-CN"/>
        </w:rPr>
      </w:pPr>
      <w:r>
        <w:rPr>
          <w:rFonts w:hint="eastAsia" w:ascii="仿宋_GB2312" w:hAnsi="Times New Roman" w:eastAsia="仿宋_GB2312" w:cs="Times New Roman"/>
          <w:b/>
          <w:bCs/>
          <w:color w:val="auto"/>
          <w:sz w:val="32"/>
          <w:szCs w:val="32"/>
          <w:lang w:val="zh-CN" w:eastAsia="zh-CN" w:bidi="zh-CN"/>
        </w:rPr>
        <w:t>2</w:t>
      </w:r>
      <w:r>
        <w:rPr>
          <w:rFonts w:ascii="仿宋_GB2312" w:hAnsi="Times New Roman" w:eastAsia="仿宋_GB2312" w:cs="Times New Roman"/>
          <w:b/>
          <w:bCs/>
          <w:color w:val="auto"/>
          <w:sz w:val="32"/>
          <w:szCs w:val="32"/>
          <w:lang w:val="zh-CN" w:eastAsia="zh-CN" w:bidi="zh-CN"/>
        </w:rPr>
        <w:t>.需要关注的地方</w:t>
      </w:r>
    </w:p>
    <w:p w14:paraId="5CAF7B6D">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经评委评估分析访谈情况和查阅项目调研、</w:t>
      </w:r>
      <w:r>
        <w:rPr>
          <w:rFonts w:hint="eastAsia" w:ascii="仿宋_GB2312" w:eastAsia="仿宋_GB2312"/>
          <w:color w:val="auto"/>
          <w:sz w:val="32"/>
          <w:szCs w:val="32"/>
        </w:rPr>
        <w:t>服务方案</w:t>
      </w:r>
      <w:r>
        <w:rPr>
          <w:rFonts w:hint="eastAsia" w:ascii="仿宋_GB2312" w:eastAsia="仿宋_GB2312" w:hAnsiTheme="minorEastAsia"/>
          <w:color w:val="auto"/>
          <w:sz w:val="32"/>
          <w:szCs w:val="32"/>
          <w:lang w:eastAsia="zh-CN"/>
        </w:rPr>
        <w:t>等各类服务工作痕迹记录资料，该项目以下几方面需关注：</w:t>
      </w:r>
    </w:p>
    <w:p w14:paraId="05BE4C98">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1</w:t>
      </w:r>
      <w:r>
        <w:rPr>
          <w:rFonts w:hint="eastAsia" w:ascii="仿宋_GB2312" w:eastAsia="仿宋_GB2312" w:hAnsiTheme="minorEastAsia"/>
          <w:color w:val="auto"/>
          <w:sz w:val="32"/>
          <w:szCs w:val="32"/>
          <w:lang w:eastAsia="zh-CN"/>
        </w:rPr>
        <w:t>）建议项目进一步完善能力提升体系规划的框架结构与条理性，厘清“制度”“机制”与“计划”的区别，整合社工个人成长的需求分析，系统建立能力提升体系的目标，厘清“培训”与“共学”的内涵与外延，明确督导、培训、共学、学习交流等各类学习形式的具体计划与安排。持续完善内部共学机制及内部督导制度，明确主题共学的带领人，结合实际需求明确内部督导工作机制与内容，并保障制度的有效落实，充分发挥资深社工的“传帮带”作用，推动项目经验的分享和学习。同时，成效总结梳理，应加强对实施情况的检视，结合日常监测的结果，从“量”与“质”两方面，通过对比前后的服务表现、工作绩效、项目成果等情况，精准评估专业能力提升方案的实施效果，并及时调整人才培养策略，打造一支综合素质高的人才队伍。</w:t>
      </w:r>
    </w:p>
    <w:p w14:paraId="77291A8E">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2</w:t>
      </w:r>
      <w:r>
        <w:rPr>
          <w:rFonts w:hint="eastAsia" w:ascii="仿宋_GB2312" w:eastAsia="仿宋_GB2312" w:hAnsiTheme="minorEastAsia"/>
          <w:color w:val="auto"/>
          <w:sz w:val="32"/>
          <w:szCs w:val="32"/>
          <w:lang w:eastAsia="zh-CN"/>
        </w:rPr>
        <w:t>）项目团队积极书写，但未形成突出研究成果。建议结合项目案例书写与报道方面的激励机制，持续鼓励、支持社工提升实务研究的动力与能力，持续提高案例稿件的质量，积极参与全国性案例征集、论坛征稿及国家级期刊征稿等活动，力求在实务研究产出方面取得突破。项目在市级层面经验推广集中在市行业官网平台，建议项目拓展多元化的宣传渠道，拓展更多国家、省、市级及其他有影响力的平台推广服务经验，以扩大项目推广的范围与影响力。</w:t>
      </w:r>
    </w:p>
    <w:p w14:paraId="3FC19041">
      <w:pPr>
        <w:pStyle w:val="10"/>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三、评估反馈</w:t>
      </w:r>
    </w:p>
    <w:p w14:paraId="0A625A2A">
      <w:pPr>
        <w:pStyle w:val="12"/>
        <w:pageBreakBefore w:val="0"/>
        <w:widowControl w:val="0"/>
        <w:kinsoku/>
        <w:wordWrap/>
        <w:overflowPunct/>
        <w:topLinePunct w:val="0"/>
        <w:autoSpaceDE/>
        <w:autoSpaceDN/>
        <w:bidi w:val="0"/>
        <w:adjustRightInd/>
        <w:snapToGrid/>
        <w:spacing w:after="120" w:line="560" w:lineRule="exact"/>
        <w:ind w:firstLine="640"/>
        <w:jc w:val="both"/>
        <w:textAlignment w:val="auto"/>
        <w:rPr>
          <w:rFonts w:ascii="仿宋_GB2312" w:eastAsia="仿宋_GB2312"/>
          <w:color w:val="auto"/>
          <w:sz w:val="32"/>
          <w:szCs w:val="32"/>
        </w:rPr>
      </w:pPr>
      <w:r>
        <w:rPr>
          <w:rFonts w:hint="eastAsia" w:ascii="仿宋_GB2312" w:eastAsia="仿宋_GB2312"/>
          <w:color w:val="auto"/>
          <w:sz w:val="32"/>
          <w:szCs w:val="32"/>
        </w:rPr>
        <w:t>评估反馈主要分为两大环节，一是现场反馈环节，二是对评估报告初稿的意见反馈环节。本次</w:t>
      </w:r>
      <w:r>
        <w:rPr>
          <w:rFonts w:hint="eastAsia" w:ascii="仿宋_GB2312" w:eastAsia="仿宋_GB2312"/>
          <w:color w:val="auto"/>
          <w:sz w:val="32"/>
          <w:szCs w:val="32"/>
          <w:lang w:val="en-US" w:eastAsia="zh-CN"/>
        </w:rPr>
        <w:t>南村镇西片</w:t>
      </w:r>
      <w:r>
        <w:rPr>
          <w:rFonts w:hint="eastAsia" w:ascii="仿宋_GB2312" w:eastAsia="仿宋_GB2312"/>
          <w:color w:val="auto"/>
          <w:sz w:val="32"/>
          <w:szCs w:val="32"/>
        </w:rPr>
        <w:t>社工站的反馈如下：</w:t>
      </w:r>
      <w:bookmarkStart w:id="40" w:name="bookmark85"/>
      <w:bookmarkEnd w:id="40"/>
    </w:p>
    <w:p w14:paraId="22E6A370">
      <w:pPr>
        <w:pStyle w:val="12"/>
        <w:pageBreakBefore w:val="0"/>
        <w:widowControl w:val="0"/>
        <w:kinsoku/>
        <w:wordWrap/>
        <w:overflowPunct/>
        <w:topLinePunct w:val="0"/>
        <w:autoSpaceDE/>
        <w:autoSpaceDN/>
        <w:bidi w:val="0"/>
        <w:adjustRightInd/>
        <w:snapToGrid/>
        <w:spacing w:after="0" w:line="56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1.现场反馈：</w:t>
      </w:r>
      <w:r>
        <w:rPr>
          <w:rFonts w:hint="eastAsia" w:ascii="仿宋_GB2312" w:eastAsia="仿宋_GB2312" w:hAnsiTheme="minorEastAsia"/>
          <w:color w:val="auto"/>
          <w:sz w:val="32"/>
          <w:szCs w:val="32"/>
          <w:lang w:eastAsia="zh-CN"/>
        </w:rPr>
        <w:t>经过为期一天的评估，评委针对</w:t>
      </w:r>
      <w:r>
        <w:rPr>
          <w:rFonts w:hint="eastAsia" w:ascii="仿宋_GB2312" w:eastAsia="仿宋_GB2312" w:hAnsiTheme="minorEastAsia"/>
          <w:color w:val="auto"/>
          <w:sz w:val="32"/>
          <w:szCs w:val="32"/>
          <w:lang w:val="en-US" w:eastAsia="zh-CN"/>
        </w:rPr>
        <w:t>南村镇西片</w:t>
      </w:r>
      <w:r>
        <w:rPr>
          <w:rFonts w:hint="eastAsia" w:ascii="仿宋_GB2312" w:eastAsia="仿宋_GB2312" w:hAnsiTheme="minorEastAsia"/>
          <w:color w:val="auto"/>
          <w:sz w:val="32"/>
          <w:szCs w:val="32"/>
          <w:lang w:eastAsia="zh-CN"/>
        </w:rPr>
        <w:t>社工站的情况，进行了现场总结反馈，在总结反馈环节，</w:t>
      </w:r>
      <w:r>
        <w:rPr>
          <w:rFonts w:hint="eastAsia" w:ascii="仿宋_GB2312" w:eastAsia="仿宋_GB2312" w:hAnsiTheme="minorEastAsia"/>
          <w:color w:val="auto"/>
          <w:sz w:val="32"/>
          <w:szCs w:val="32"/>
          <w:lang w:val="en-US" w:eastAsia="zh-CN"/>
        </w:rPr>
        <w:t>南村镇西片</w:t>
      </w:r>
      <w:r>
        <w:rPr>
          <w:rFonts w:hint="eastAsia" w:ascii="仿宋_GB2312" w:eastAsia="仿宋_GB2312" w:hAnsiTheme="minorEastAsia"/>
          <w:color w:val="auto"/>
          <w:sz w:val="32"/>
          <w:szCs w:val="32"/>
          <w:lang w:eastAsia="zh-CN"/>
        </w:rPr>
        <w:t>社工站表示对评委们提出的意见和建议无异议。</w:t>
      </w:r>
    </w:p>
    <w:p w14:paraId="42785E72">
      <w:pPr>
        <w:pStyle w:val="12"/>
        <w:pageBreakBefore w:val="0"/>
        <w:widowControl w:val="0"/>
        <w:kinsoku/>
        <w:wordWrap/>
        <w:overflowPunct/>
        <w:topLinePunct w:val="0"/>
        <w:autoSpaceDE/>
        <w:autoSpaceDN/>
        <w:bidi w:val="0"/>
        <w:adjustRightInd/>
        <w:snapToGrid/>
        <w:spacing w:after="0" w:line="56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2.对评估报告初稿的反馈：</w:t>
      </w:r>
      <w:r>
        <w:rPr>
          <w:rFonts w:hint="eastAsia" w:ascii="仿宋_GB2312" w:eastAsia="仿宋_GB2312" w:hAnsiTheme="minorEastAsia"/>
          <w:color w:val="auto"/>
          <w:sz w:val="32"/>
          <w:szCs w:val="32"/>
          <w:lang w:eastAsia="zh-CN"/>
        </w:rPr>
        <w:t>番禺区民政局、</w:t>
      </w:r>
      <w:r>
        <w:rPr>
          <w:rFonts w:hint="eastAsia" w:ascii="仿宋_GB2312" w:eastAsia="仿宋_GB2312" w:hAnsiTheme="minorEastAsia"/>
          <w:color w:val="auto"/>
          <w:sz w:val="32"/>
          <w:szCs w:val="32"/>
          <w:lang w:val="en-US" w:eastAsia="zh-CN"/>
        </w:rPr>
        <w:t>南村镇人民政府</w:t>
      </w: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南村镇西片</w:t>
      </w:r>
      <w:r>
        <w:rPr>
          <w:rFonts w:hint="eastAsia" w:ascii="仿宋_GB2312" w:eastAsia="仿宋_GB2312" w:hAnsiTheme="minorEastAsia"/>
          <w:color w:val="auto"/>
          <w:sz w:val="32"/>
          <w:szCs w:val="32"/>
          <w:lang w:eastAsia="zh-CN"/>
        </w:rPr>
        <w:t>社工站对评估报告初稿无异议。</w:t>
      </w:r>
    </w:p>
    <w:p w14:paraId="7ABC453F">
      <w:pPr>
        <w:pStyle w:val="10"/>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bookmarkStart w:id="41" w:name="bookmark86"/>
      <w:r>
        <w:rPr>
          <w:rFonts w:hint="eastAsia" w:ascii="方正小标宋简体" w:eastAsia="方正小标宋简体"/>
          <w:b/>
          <w:bCs/>
          <w:color w:val="auto"/>
          <w:sz w:val="32"/>
          <w:szCs w:val="28"/>
          <w:lang w:val="en-US"/>
        </w:rPr>
        <w:t>四</w:t>
      </w:r>
      <w:bookmarkEnd w:id="41"/>
      <w:r>
        <w:rPr>
          <w:rFonts w:hint="eastAsia" w:ascii="方正小标宋简体" w:eastAsia="方正小标宋简体"/>
          <w:b/>
          <w:bCs/>
          <w:color w:val="auto"/>
          <w:sz w:val="32"/>
          <w:szCs w:val="28"/>
          <w:lang w:val="en-US"/>
        </w:rPr>
        <w:t>、评估等级</w:t>
      </w:r>
    </w:p>
    <w:p w14:paraId="07476F85">
      <w:pPr>
        <w:pStyle w:val="12"/>
        <w:pageBreakBefore w:val="0"/>
        <w:widowControl w:val="0"/>
        <w:kinsoku/>
        <w:wordWrap/>
        <w:overflowPunct/>
        <w:topLinePunct w:val="0"/>
        <w:autoSpaceDE/>
        <w:autoSpaceDN/>
        <w:bidi w:val="0"/>
        <w:adjustRightInd/>
        <w:snapToGrid/>
        <w:spacing w:after="120" w:line="560" w:lineRule="exact"/>
        <w:ind w:firstLine="64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p>
    <w:p w14:paraId="1DFB7A2D">
      <w:pPr>
        <w:pStyle w:val="12"/>
        <w:pageBreakBefore w:val="0"/>
        <w:widowControl w:val="0"/>
        <w:kinsoku/>
        <w:wordWrap/>
        <w:overflowPunct/>
        <w:topLinePunct w:val="0"/>
        <w:autoSpaceDE/>
        <w:autoSpaceDN/>
        <w:bidi w:val="0"/>
        <w:adjustRightInd/>
        <w:snapToGrid/>
        <w:spacing w:after="120" w:line="560" w:lineRule="exact"/>
        <w:ind w:firstLine="640"/>
        <w:jc w:val="both"/>
        <w:textAlignment w:val="auto"/>
        <w:rPr>
          <w:rFonts w:ascii="仿宋_GB2312" w:eastAsia="PMingLiU"/>
          <w:color w:val="auto"/>
          <w:sz w:val="32"/>
          <w:szCs w:val="32"/>
          <w:highlight w:val="none"/>
        </w:rPr>
      </w:pPr>
      <w:r>
        <w:rPr>
          <w:rFonts w:hint="eastAsia" w:ascii="仿宋_GB2312" w:eastAsia="仿宋_GB2312"/>
          <w:color w:val="auto"/>
          <w:sz w:val="32"/>
          <w:szCs w:val="32"/>
        </w:rPr>
        <w:t>经过评估</w:t>
      </w:r>
      <w:r>
        <w:rPr>
          <w:rFonts w:hint="eastAsia" w:ascii="仿宋_GB2312" w:eastAsia="仿宋_GB2312"/>
          <w:color w:val="auto"/>
          <w:sz w:val="32"/>
          <w:szCs w:val="32"/>
          <w:lang w:eastAsia="zh-CN"/>
        </w:rPr>
        <w:t>，</w:t>
      </w:r>
      <w:r>
        <w:rPr>
          <w:rFonts w:hint="eastAsia" w:ascii="仿宋_GB2312" w:eastAsia="仿宋_GB2312" w:hAnsiTheme="minorEastAsia"/>
          <w:color w:val="auto"/>
          <w:sz w:val="32"/>
          <w:szCs w:val="32"/>
          <w:lang w:val="en-US" w:eastAsia="zh-CN"/>
        </w:rPr>
        <w:t>南村镇西片</w:t>
      </w:r>
      <w:r>
        <w:rPr>
          <w:rFonts w:hint="eastAsia" w:ascii="仿宋_GB2312" w:eastAsia="仿宋_GB2312"/>
          <w:color w:val="auto"/>
          <w:sz w:val="32"/>
          <w:szCs w:val="32"/>
        </w:rPr>
        <w:t>社工站本次</w:t>
      </w:r>
      <w:r>
        <w:rPr>
          <w:rFonts w:hint="eastAsia" w:ascii="仿宋_GB2312" w:eastAsia="仿宋_GB2312"/>
          <w:color w:val="auto"/>
          <w:sz w:val="32"/>
          <w:szCs w:val="32"/>
          <w:lang w:eastAsia="zh-CN"/>
        </w:rPr>
        <w:t>末期</w:t>
      </w:r>
      <w:r>
        <w:rPr>
          <w:rFonts w:hint="eastAsia" w:ascii="仿宋_GB2312" w:eastAsia="仿宋_GB2312"/>
          <w:color w:val="auto"/>
          <w:sz w:val="32"/>
          <w:szCs w:val="32"/>
        </w:rPr>
        <w:t>评估的等级为</w:t>
      </w:r>
      <w:r>
        <w:rPr>
          <w:rFonts w:hint="eastAsia" w:ascii="仿宋_GB2312" w:eastAsia="仿宋_GB2312"/>
          <w:b/>
          <w:bCs w:val="0"/>
          <w:color w:val="auto"/>
          <w:sz w:val="32"/>
          <w:szCs w:val="32"/>
          <w:highlight w:val="none"/>
        </w:rPr>
        <w:t>“</w:t>
      </w:r>
      <w:r>
        <w:rPr>
          <w:rFonts w:hint="eastAsia" w:ascii="仿宋_GB2312" w:hAnsi="仿宋_GB2312" w:eastAsia="仿宋_GB2312" w:cs="仿宋_GB2312"/>
          <w:b/>
          <w:bCs w:val="0"/>
          <w:sz w:val="32"/>
          <w:szCs w:val="32"/>
          <w:lang w:val="en-US" w:eastAsia="zh-CN" w:bidi="ar"/>
        </w:rPr>
        <w:t>良好</w:t>
      </w:r>
      <w:r>
        <w:rPr>
          <w:rFonts w:hint="eastAsia" w:ascii="仿宋_GB2312" w:eastAsia="仿宋_GB2312"/>
          <w:b/>
          <w:bCs w:val="0"/>
          <w:color w:val="auto"/>
          <w:sz w:val="32"/>
          <w:szCs w:val="32"/>
          <w:highlight w:val="none"/>
        </w:rPr>
        <w:t>”</w:t>
      </w:r>
      <w:r>
        <w:rPr>
          <w:rFonts w:hint="eastAsia" w:ascii="仿宋_GB2312" w:eastAsia="仿宋_GB2312"/>
          <w:b/>
          <w:bCs w:val="0"/>
          <w:color w:val="auto"/>
          <w:sz w:val="32"/>
          <w:szCs w:val="32"/>
          <w:highlight w:val="none"/>
          <w:lang w:eastAsia="zh-CN"/>
        </w:rPr>
        <w:t>（</w:t>
      </w:r>
      <w:r>
        <w:rPr>
          <w:rFonts w:hint="eastAsia" w:ascii="仿宋_GB2312" w:hAnsi="仿宋_GB2312" w:eastAsia="仿宋_GB2312" w:cs="仿宋_GB2312"/>
          <w:b/>
          <w:bCs w:val="0"/>
          <w:sz w:val="32"/>
          <w:szCs w:val="32"/>
          <w:lang w:val="en-US" w:eastAsia="zh-CN" w:bidi="ar"/>
        </w:rPr>
        <w:t>87.35</w:t>
      </w:r>
      <w:r>
        <w:rPr>
          <w:rFonts w:ascii="仿宋_GB2312" w:eastAsia="仿宋_GB2312"/>
          <w:b/>
          <w:bCs w:val="0"/>
          <w:sz w:val="32"/>
          <w:szCs w:val="32"/>
          <w:highlight w:val="none"/>
          <w:lang w:val="en-US" w:eastAsia="zh-CN"/>
        </w:rPr>
        <w:t>分</w:t>
      </w:r>
      <w:r>
        <w:rPr>
          <w:rFonts w:hint="eastAsia" w:ascii="仿宋_GB2312" w:eastAsia="仿宋_GB2312"/>
          <w:b/>
          <w:bCs w:val="0"/>
          <w:color w:val="auto"/>
          <w:sz w:val="32"/>
          <w:szCs w:val="32"/>
          <w:highlight w:val="none"/>
          <w:lang w:eastAsia="zh-CN"/>
        </w:rPr>
        <w:t>）</w:t>
      </w:r>
      <w:r>
        <w:rPr>
          <w:rFonts w:hint="eastAsia" w:ascii="仿宋_GB2312" w:eastAsia="仿宋_GB2312"/>
          <w:color w:val="auto"/>
          <w:sz w:val="32"/>
          <w:szCs w:val="32"/>
          <w:highlight w:val="none"/>
        </w:rPr>
        <w:t>。</w:t>
      </w:r>
    </w:p>
    <w:p w14:paraId="203E1C02">
      <w:pPr>
        <w:pStyle w:val="12"/>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p w14:paraId="4152A72B">
      <w:pPr>
        <w:pStyle w:val="12"/>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6"/>
        <w:gridCol w:w="1508"/>
        <w:gridCol w:w="1514"/>
        <w:gridCol w:w="1757"/>
      </w:tblGrid>
      <w:tr w14:paraId="3C92C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3E844103">
            <w:pPr>
              <w:pStyle w:val="12"/>
              <w:spacing w:after="0" w:line="560" w:lineRule="exact"/>
              <w:jc w:val="center"/>
              <w:rPr>
                <w:rFonts w:ascii="仿宋_GB2312" w:hAnsi="仿宋_GB2312" w:eastAsia="仿宋_GB2312" w:cs="仿宋_GB2312"/>
                <w:b/>
                <w:bCs/>
                <w:lang w:val="en-US" w:eastAsia="zh-CN"/>
              </w:rPr>
            </w:pPr>
            <w:bookmarkStart w:id="42" w:name="bookmark87"/>
            <w:r>
              <w:rPr>
                <w:rFonts w:hint="eastAsia" w:ascii="仿宋_GB2312" w:hAnsi="仿宋_GB2312" w:eastAsia="仿宋_GB2312" w:cs="仿宋_GB2312"/>
                <w:b/>
                <w:bCs/>
                <w:lang w:val="en-US" w:eastAsia="zh-CN"/>
              </w:rPr>
              <w:t>评估内容</w:t>
            </w:r>
          </w:p>
        </w:tc>
        <w:tc>
          <w:tcPr>
            <w:tcW w:w="728" w:type="pct"/>
            <w:noWrap w:val="0"/>
            <w:vAlign w:val="center"/>
          </w:tcPr>
          <w:p w14:paraId="1CC8FE4B">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noWrap w:val="0"/>
            <w:vAlign w:val="center"/>
          </w:tcPr>
          <w:p w14:paraId="091A1CF0">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noWrap w:val="0"/>
            <w:vAlign w:val="center"/>
          </w:tcPr>
          <w:p w14:paraId="6D7B3BED">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14:paraId="0226F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7B0B8CF9">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bidi="ar"/>
              </w:rPr>
              <w:t>专业服务板块</w:t>
            </w:r>
          </w:p>
        </w:tc>
        <w:tc>
          <w:tcPr>
            <w:tcW w:w="728" w:type="pct"/>
            <w:noWrap w:val="0"/>
            <w:vAlign w:val="center"/>
          </w:tcPr>
          <w:p w14:paraId="442BEF1E">
            <w:pPr>
              <w:keepNext w:val="0"/>
              <w:keepLines w:val="0"/>
              <w:widowControl/>
              <w:suppressLineNumbers w:val="0"/>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55</w:t>
            </w:r>
          </w:p>
        </w:tc>
        <w:tc>
          <w:tcPr>
            <w:tcW w:w="731" w:type="pct"/>
            <w:noWrap w:val="0"/>
            <w:vAlign w:val="center"/>
          </w:tcPr>
          <w:p w14:paraId="11F21196">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48.05</w:t>
            </w:r>
          </w:p>
        </w:tc>
        <w:tc>
          <w:tcPr>
            <w:tcW w:w="848" w:type="pct"/>
            <w:noWrap w:val="0"/>
            <w:vAlign w:val="center"/>
          </w:tcPr>
          <w:p w14:paraId="1455733F">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48.05</w:t>
            </w:r>
          </w:p>
        </w:tc>
      </w:tr>
      <w:tr w14:paraId="387AF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67B6CF4B">
            <w:pPr>
              <w:widowControl/>
              <w:jc w:val="center"/>
              <w:textAlignment w:val="center"/>
              <w:rPr>
                <w:rFonts w:ascii="仿宋_GB2312" w:hAnsi="仿宋_GB2312" w:eastAsia="仿宋_GB2312" w:cs="仿宋_GB2312"/>
                <w:sz w:val="28"/>
                <w:szCs w:val="28"/>
                <w:lang w:eastAsia="zh-CN" w:bidi="ar"/>
              </w:rPr>
            </w:pPr>
            <w:r>
              <w:rPr>
                <w:rStyle w:val="31"/>
                <w:rFonts w:hint="default" w:ascii="仿宋_GB2312" w:hAnsi="仿宋_GB2312" w:eastAsia="仿宋_GB2312" w:cs="仿宋_GB2312"/>
                <w:sz w:val="28"/>
                <w:szCs w:val="28"/>
                <w:lang w:eastAsia="zh-CN" w:bidi="ar"/>
              </w:rPr>
              <w:t>购买方</w:t>
            </w:r>
          </w:p>
        </w:tc>
        <w:tc>
          <w:tcPr>
            <w:tcW w:w="728" w:type="pct"/>
            <w:noWrap w:val="0"/>
            <w:vAlign w:val="center"/>
          </w:tcPr>
          <w:p w14:paraId="0C4DDAD1">
            <w:pPr>
              <w:keepNext w:val="0"/>
              <w:keepLines w:val="0"/>
              <w:widowControl/>
              <w:suppressLineNumbers w:val="0"/>
              <w:jc w:val="center"/>
              <w:textAlignment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i w:val="0"/>
                <w:iCs w:val="0"/>
                <w:color w:val="000000"/>
                <w:kern w:val="0"/>
                <w:sz w:val="28"/>
                <w:szCs w:val="28"/>
                <w:u w:val="none"/>
                <w:lang w:val="en-US" w:eastAsia="zh-CN" w:bidi="ar"/>
              </w:rPr>
              <w:t>20</w:t>
            </w:r>
          </w:p>
        </w:tc>
        <w:tc>
          <w:tcPr>
            <w:tcW w:w="731" w:type="pct"/>
            <w:noWrap w:val="0"/>
            <w:vAlign w:val="center"/>
          </w:tcPr>
          <w:p w14:paraId="1B586B3C">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18</w:t>
            </w:r>
          </w:p>
        </w:tc>
        <w:tc>
          <w:tcPr>
            <w:tcW w:w="848" w:type="pct"/>
            <w:noWrap w:val="0"/>
            <w:vAlign w:val="center"/>
          </w:tcPr>
          <w:p w14:paraId="59DBADD4">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18</w:t>
            </w:r>
          </w:p>
        </w:tc>
      </w:tr>
      <w:tr w14:paraId="0D63E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3830B5BD">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督导中心</w:t>
            </w:r>
          </w:p>
        </w:tc>
        <w:tc>
          <w:tcPr>
            <w:tcW w:w="728" w:type="pct"/>
            <w:noWrap w:val="0"/>
            <w:vAlign w:val="center"/>
          </w:tcPr>
          <w:p w14:paraId="57A8AA93">
            <w:pPr>
              <w:keepNext w:val="0"/>
              <w:keepLines w:val="0"/>
              <w:widowControl/>
              <w:suppressLineNumbers w:val="0"/>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15</w:t>
            </w:r>
          </w:p>
        </w:tc>
        <w:tc>
          <w:tcPr>
            <w:tcW w:w="731" w:type="pct"/>
            <w:noWrap w:val="0"/>
            <w:vAlign w:val="center"/>
          </w:tcPr>
          <w:p w14:paraId="4562F393">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12.5</w:t>
            </w:r>
          </w:p>
        </w:tc>
        <w:tc>
          <w:tcPr>
            <w:tcW w:w="848" w:type="pct"/>
            <w:noWrap w:val="0"/>
            <w:vAlign w:val="center"/>
          </w:tcPr>
          <w:p w14:paraId="14ABF1A5">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12.5</w:t>
            </w:r>
          </w:p>
        </w:tc>
      </w:tr>
      <w:tr w14:paraId="28560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53024531">
            <w:pPr>
              <w:widowControl/>
              <w:jc w:val="center"/>
              <w:textAlignment w:val="center"/>
              <w:rPr>
                <w:rFonts w:ascii="仿宋_GB2312" w:hAnsi="仿宋_GB2312" w:eastAsia="仿宋_GB2312" w:cs="仿宋_GB2312"/>
                <w:sz w:val="28"/>
                <w:szCs w:val="28"/>
                <w:lang w:eastAsia="zh-CN" w:bidi="ar"/>
              </w:rPr>
            </w:pPr>
            <w:r>
              <w:rPr>
                <w:rStyle w:val="31"/>
                <w:rFonts w:hint="default" w:ascii="仿宋_GB2312" w:hAnsi="仿宋_GB2312" w:eastAsia="仿宋_GB2312" w:cs="仿宋_GB2312"/>
                <w:sz w:val="28"/>
                <w:szCs w:val="28"/>
                <w:lang w:eastAsia="zh-CN" w:bidi="ar"/>
              </w:rPr>
              <w:t>监督方</w:t>
            </w:r>
          </w:p>
        </w:tc>
        <w:tc>
          <w:tcPr>
            <w:tcW w:w="728" w:type="pct"/>
            <w:noWrap w:val="0"/>
            <w:vAlign w:val="center"/>
          </w:tcPr>
          <w:p w14:paraId="5BAB7B9D">
            <w:pPr>
              <w:keepNext w:val="0"/>
              <w:keepLines w:val="0"/>
              <w:widowControl/>
              <w:suppressLineNumbers w:val="0"/>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10</w:t>
            </w:r>
          </w:p>
        </w:tc>
        <w:tc>
          <w:tcPr>
            <w:tcW w:w="731" w:type="pct"/>
            <w:noWrap w:val="0"/>
            <w:vAlign w:val="center"/>
          </w:tcPr>
          <w:p w14:paraId="18786EDA">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8.8</w:t>
            </w:r>
          </w:p>
        </w:tc>
        <w:tc>
          <w:tcPr>
            <w:tcW w:w="848" w:type="pct"/>
            <w:noWrap w:val="0"/>
            <w:vAlign w:val="center"/>
          </w:tcPr>
          <w:p w14:paraId="778F43DB">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8.8</w:t>
            </w:r>
          </w:p>
        </w:tc>
      </w:tr>
      <w:tr w14:paraId="11AC5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noWrap w:val="0"/>
            <w:vAlign w:val="center"/>
          </w:tcPr>
          <w:p w14:paraId="4FBA923C">
            <w:pPr>
              <w:pStyle w:val="12"/>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noWrap w:val="0"/>
            <w:vAlign w:val="center"/>
          </w:tcPr>
          <w:p w14:paraId="16C1C272">
            <w:pPr>
              <w:widowControl/>
              <w:jc w:val="center"/>
              <w:textAlignment w:val="center"/>
              <w:rPr>
                <w:rFonts w:hint="default" w:ascii="仿宋_GB2312" w:hAnsi="仿宋_GB2312" w:eastAsia="仿宋_GB2312" w:cs="仿宋_GB2312"/>
                <w:b/>
                <w:sz w:val="28"/>
                <w:szCs w:val="28"/>
                <w:lang w:val="en-US" w:eastAsia="zh-CN" w:bidi="ar"/>
              </w:rPr>
            </w:pPr>
            <w:r>
              <w:rPr>
                <w:rFonts w:hint="eastAsia" w:ascii="仿宋_GB2312" w:hAnsi="仿宋_GB2312" w:eastAsia="仿宋_GB2312" w:cs="仿宋_GB2312"/>
                <w:b/>
                <w:sz w:val="28"/>
                <w:szCs w:val="28"/>
                <w:lang w:val="en-US" w:eastAsia="zh-CN" w:bidi="ar"/>
              </w:rPr>
              <w:t>87.35</w:t>
            </w:r>
          </w:p>
        </w:tc>
      </w:tr>
    </w:tbl>
    <w:p w14:paraId="10EF87DB">
      <w:pPr>
        <w:pStyle w:val="10"/>
        <w:keepNext/>
        <w:keepLines/>
        <w:spacing w:before="0" w:after="0" w:line="560" w:lineRule="exact"/>
        <w:ind w:firstLine="643" w:firstLineChars="200"/>
        <w:jc w:val="both"/>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五</w:t>
      </w:r>
      <w:bookmarkEnd w:id="42"/>
      <w:r>
        <w:rPr>
          <w:rFonts w:hint="eastAsia" w:ascii="方正小标宋简体" w:eastAsia="方正小标宋简体"/>
          <w:b/>
          <w:bCs/>
          <w:color w:val="auto"/>
          <w:sz w:val="32"/>
          <w:szCs w:val="28"/>
          <w:lang w:val="en-US"/>
        </w:rPr>
        <w:t>、结语</w:t>
      </w:r>
    </w:p>
    <w:p w14:paraId="248C1F00">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仿宋_GB2312" w:eastAsia="仿宋_GB2312"/>
          <w:color w:val="auto"/>
          <w:sz w:val="32"/>
          <w:szCs w:val="32"/>
          <w:lang w:val="en-US" w:eastAsia="zh-CN"/>
        </w:rPr>
      </w:pPr>
      <w:r>
        <w:rPr>
          <w:rFonts w:hint="eastAsia" w:ascii="仿宋_GB2312" w:eastAsia="仿宋_GB2312" w:hAnsiTheme="minorEastAsia"/>
          <w:color w:val="auto"/>
          <w:sz w:val="32"/>
          <w:szCs w:val="32"/>
          <w:lang w:val="en-US" w:eastAsia="zh-CN"/>
        </w:rPr>
        <w:t>南村镇西片</w:t>
      </w:r>
      <w:r>
        <w:rPr>
          <w:rFonts w:hint="eastAsia" w:ascii="仿宋_GB2312" w:eastAsia="仿宋_GB2312"/>
          <w:color w:val="auto"/>
          <w:sz w:val="32"/>
          <w:szCs w:val="32"/>
        </w:rPr>
        <w:t>社工服务站在番禺区民政局、</w:t>
      </w:r>
      <w:r>
        <w:rPr>
          <w:rFonts w:hint="eastAsia" w:ascii="仿宋_GB2312" w:eastAsia="仿宋_GB2312"/>
          <w:color w:val="auto"/>
          <w:sz w:val="32"/>
          <w:szCs w:val="32"/>
          <w:lang w:val="en-US" w:eastAsia="zh-CN"/>
        </w:rPr>
        <w:t>南村镇党委</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南村镇人民政府</w:t>
      </w:r>
      <w:r>
        <w:rPr>
          <w:rFonts w:hint="eastAsia" w:ascii="仿宋_GB2312" w:eastAsia="仿宋_GB2312"/>
          <w:color w:val="auto"/>
          <w:sz w:val="32"/>
          <w:szCs w:val="32"/>
        </w:rPr>
        <w:t>的大力支持下，在</w:t>
      </w:r>
      <w:r>
        <w:rPr>
          <w:rFonts w:hint="eastAsia" w:ascii="仿宋_GB2312" w:eastAsia="仿宋_GB2312"/>
          <w:color w:val="auto"/>
          <w:sz w:val="32"/>
          <w:szCs w:val="32"/>
          <w:lang w:val="en-US" w:eastAsia="zh-CN"/>
        </w:rPr>
        <w:t>广州市南沙区百民社会</w:t>
      </w:r>
      <w:r>
        <w:rPr>
          <w:rFonts w:hint="eastAsia" w:ascii="仿宋_GB2312" w:eastAsia="仿宋_GB2312"/>
          <w:color w:val="auto"/>
          <w:sz w:val="32"/>
          <w:szCs w:val="32"/>
        </w:rPr>
        <w:t>工作服务</w:t>
      </w:r>
      <w:r>
        <w:rPr>
          <w:rFonts w:hint="eastAsia" w:ascii="仿宋_GB2312" w:eastAsia="仿宋_GB2312"/>
          <w:color w:val="auto"/>
          <w:sz w:val="32"/>
          <w:szCs w:val="32"/>
          <w:lang w:eastAsia="zh-CN"/>
        </w:rPr>
        <w:t>中心</w:t>
      </w:r>
      <w:r>
        <w:rPr>
          <w:rFonts w:hint="eastAsia" w:ascii="仿宋_GB2312" w:eastAsia="仿宋_GB2312"/>
          <w:color w:val="auto"/>
          <w:sz w:val="32"/>
          <w:szCs w:val="32"/>
        </w:rPr>
        <w:t>的努力下，</w:t>
      </w:r>
      <w:r>
        <w:rPr>
          <w:rFonts w:hint="eastAsia" w:ascii="仿宋_GB2312" w:eastAsia="仿宋_GB2312"/>
          <w:color w:val="auto"/>
          <w:sz w:val="32"/>
          <w:szCs w:val="32"/>
          <w:lang w:val="en-US" w:eastAsia="zh-CN"/>
        </w:rPr>
        <w:t>社工站坚持党的领导，积极配合镇政府的相关工作；社工关注兜底人群服务，制定困难群体和特殊群体跟进机制，为17类困难群众和特殊群体提供多种服务，美誉度、服务满意度比较好。</w:t>
      </w:r>
    </w:p>
    <w:p w14:paraId="0A06A907">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建议社工站加强团队建设，提高稳岗率，按照新标准要求完善各片区服务的需求评估，细化困难群体服务的年度计划，增强兜底人群服务的精准化程度，服务资源宜优先投放给困难群体和特殊群体，重点呈现服务成效，加强对社工服务经验的梳理指导，提升社工专业能力，撰写优质案例文章，踊跃向有影响力的杂志刊物投稿，不断扩大项目的社会影响力。</w:t>
      </w:r>
    </w:p>
    <w:p w14:paraId="4EF3BCD6">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p>
    <w:p w14:paraId="7306E00A">
      <w:pPr>
        <w:pStyle w:val="12"/>
        <w:spacing w:after="160" w:line="560" w:lineRule="exact"/>
        <w:ind w:firstLine="0" w:firstLineChars="0"/>
        <w:jc w:val="both"/>
        <w:rPr>
          <w:rFonts w:eastAsia="PMingLiU"/>
          <w:color w:val="auto"/>
          <w:lang w:eastAsia="zh-CN"/>
        </w:rPr>
      </w:pPr>
    </w:p>
    <w:p w14:paraId="7E52995E">
      <w:pPr>
        <w:pStyle w:val="2"/>
        <w:pageBreakBefore w:val="0"/>
        <w:widowControl w:val="0"/>
        <w:kinsoku/>
        <w:wordWrap/>
        <w:overflowPunct/>
        <w:topLinePunct w:val="0"/>
        <w:autoSpaceDE/>
        <w:autoSpaceDN/>
        <w:bidi w:val="0"/>
        <w:adjustRightInd/>
        <w:snapToGrid/>
        <w:spacing w:line="560" w:lineRule="exact"/>
        <w:textAlignment w:val="auto"/>
        <w:rPr>
          <w:lang w:eastAsia="zh-CN"/>
        </w:rPr>
      </w:pPr>
    </w:p>
    <w:p w14:paraId="4558AF94">
      <w:pPr>
        <w:tabs>
          <w:tab w:val="left" w:pos="7330"/>
        </w:tabs>
        <w:spacing w:line="560" w:lineRule="exact"/>
        <w:ind w:firstLine="5120" w:firstLineChars="1600"/>
        <w:jc w:val="both"/>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广州市番禺区社会组织联合会</w:t>
      </w:r>
    </w:p>
    <w:p w14:paraId="5673A896">
      <w:pPr>
        <w:tabs>
          <w:tab w:val="left" w:pos="7330"/>
        </w:tabs>
        <w:spacing w:line="560" w:lineRule="exact"/>
        <w:ind w:firstLine="6080" w:firstLineChars="1900"/>
        <w:jc w:val="both"/>
        <w:rPr>
          <w:lang w:val="en-US" w:eastAsia="zh-CN"/>
        </w:rPr>
      </w:pP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lang w:eastAsia="zh-CN"/>
        </w:rPr>
        <w:t>月</w:t>
      </w:r>
      <w:r>
        <w:rPr>
          <w:rFonts w:hint="eastAsia" w:ascii="仿宋_GB2312" w:hAnsi="仿宋_GB2312" w:eastAsia="仿宋_GB2312" w:cs="仿宋_GB2312"/>
          <w:color w:val="auto"/>
          <w:sz w:val="32"/>
          <w:szCs w:val="32"/>
          <w:lang w:val="en-US" w:eastAsia="zh-CN"/>
        </w:rPr>
        <w:t>12日</w:t>
      </w:r>
    </w:p>
    <w:sectPr>
      <w:footerReference r:id="rId3" w:type="default"/>
      <w:footerReference r:id="rId4" w:type="even"/>
      <w:pgSz w:w="11900" w:h="16840"/>
      <w:pgMar w:top="1301" w:right="876" w:bottom="1373" w:left="885" w:header="457" w:footer="44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PMingLiU">
    <w:panose1 w:val="02020500000000000000"/>
    <w:charset w:val="88"/>
    <w:family w:val="auto"/>
    <w:pitch w:val="default"/>
    <w:sig w:usb0="A00002FF" w:usb1="28CFFCFA"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64CAF9">
    <w:pPr>
      <w:pStyle w:val="4"/>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FF93B9">
                          <w:pPr>
                            <w:pStyle w:val="4"/>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18FF93B9">
                    <w:pPr>
                      <w:pStyle w:val="4"/>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AE71A4">
    <w:pPr>
      <w:pStyle w:val="4"/>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0EF6E9">
                          <w:pPr>
                            <w:pStyle w:val="4"/>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1B0EF6E9">
                    <w:pPr>
                      <w:pStyle w:val="4"/>
                    </w:pPr>
                    <w:r>
                      <w:fldChar w:fldCharType="begin"/>
                    </w:r>
                    <w:r>
                      <w:instrText xml:space="preserve"> PAGE  \* MERGEFORMAT </w:instrText>
                    </w:r>
                    <w:r>
                      <w:fldChar w:fldCharType="separate"/>
                    </w:r>
                    <w:r>
                      <w:t>18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C06868"/>
    <w:multiLevelType w:val="singleLevel"/>
    <w:tmpl w:val="95C06868"/>
    <w:lvl w:ilvl="0" w:tentative="0">
      <w:start w:val="1"/>
      <w:numFmt w:val="decimal"/>
      <w:suff w:val="nothing"/>
      <w:lvlText w:val="（%1）"/>
      <w:lvlJc w:val="left"/>
    </w:lvl>
  </w:abstractNum>
  <w:abstractNum w:abstractNumId="1">
    <w:nsid w:val="C7167EC6"/>
    <w:multiLevelType w:val="singleLevel"/>
    <w:tmpl w:val="C7167EC6"/>
    <w:lvl w:ilvl="0" w:tentative="0">
      <w:start w:val="7"/>
      <w:numFmt w:val="chineseCounting"/>
      <w:suff w:val="nothing"/>
      <w:lvlText w:val="（%1）"/>
      <w:lvlJc w:val="left"/>
      <w:rPr>
        <w:rFonts w:hint="eastAsia"/>
      </w:rPr>
    </w:lvl>
  </w:abstractNum>
  <w:abstractNum w:abstractNumId="2">
    <w:nsid w:val="00000004"/>
    <w:multiLevelType w:val="singleLevel"/>
    <w:tmpl w:val="00000004"/>
    <w:lvl w:ilvl="0" w:tentative="0">
      <w:start w:val="1"/>
      <w:numFmt w:val="decimal"/>
      <w:lvlText w:val="%1."/>
      <w:lvlJc w:val="left"/>
      <w:rPr>
        <w:rFonts w:ascii="Times New Roman" w:hAnsi="Times New Roman" w:eastAsia="Times New Roman" w:cs="Times New Roman"/>
        <w:b/>
        <w:bCs/>
        <w:i w:val="0"/>
        <w:iCs w:val="0"/>
        <w:smallCaps w:val="0"/>
        <w:color w:val="000000"/>
        <w:spacing w:val="0"/>
        <w:w w:val="100"/>
        <w:position w:val="0"/>
        <w:sz w:val="30"/>
        <w:szCs w:val="30"/>
        <w:u w:val="none"/>
        <w:shd w:val="clear" w:color="auto" w:fill="auto"/>
        <w:lang w:val="zh-TW" w:eastAsia="zh-TW" w:bidi="zh-TW"/>
      </w:rPr>
    </w:lvl>
  </w:abstractNum>
  <w:abstractNum w:abstractNumId="3">
    <w:nsid w:val="6EC500CD"/>
    <w:multiLevelType w:val="singleLevel"/>
    <w:tmpl w:val="6EC500CD"/>
    <w:lvl w:ilvl="0" w:tentative="0">
      <w:start w:val="4"/>
      <w:numFmt w:val="chineseCounting"/>
      <w:suff w:val="nothing"/>
      <w:lvlText w:val="（%1）"/>
      <w:lvlJc w:val="left"/>
      <w:rPr>
        <w:rFonts w:hint="eastAsia"/>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evenAndOddHeaders w:val="1"/>
  <w:drawingGridHorizontalSpacing w:val="181"/>
  <w:drawingGridVerticalSpacing w:val="181"/>
  <w:displayHorizontalDrawingGridEvery w:val="1"/>
  <w:displayVerticalDrawingGridEvery w:val="1"/>
  <w:noPunctuationKerning w:val="1"/>
  <w:characterSpacingControl w:val="compressPunctuation"/>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hZGYwNTVjNmEwZDlmYmM0M2UzYmUxZTMyY2ZhNTgifQ=="/>
  </w:docVars>
  <w:rsids>
    <w:rsidRoot w:val="0040785D"/>
    <w:rsid w:val="000628D7"/>
    <w:rsid w:val="000653D4"/>
    <w:rsid w:val="000669A8"/>
    <w:rsid w:val="000707EC"/>
    <w:rsid w:val="00153735"/>
    <w:rsid w:val="001543BA"/>
    <w:rsid w:val="001D6D30"/>
    <w:rsid w:val="002C77AF"/>
    <w:rsid w:val="0031205B"/>
    <w:rsid w:val="003261A9"/>
    <w:rsid w:val="00346C72"/>
    <w:rsid w:val="00347385"/>
    <w:rsid w:val="003878B8"/>
    <w:rsid w:val="003B4EB3"/>
    <w:rsid w:val="003D31DC"/>
    <w:rsid w:val="003E34FA"/>
    <w:rsid w:val="0040785D"/>
    <w:rsid w:val="0046241A"/>
    <w:rsid w:val="004A7570"/>
    <w:rsid w:val="004B3BEE"/>
    <w:rsid w:val="004C2DF8"/>
    <w:rsid w:val="004D431C"/>
    <w:rsid w:val="004F3EE1"/>
    <w:rsid w:val="004F7E29"/>
    <w:rsid w:val="00567037"/>
    <w:rsid w:val="00584628"/>
    <w:rsid w:val="00587928"/>
    <w:rsid w:val="005A2068"/>
    <w:rsid w:val="005D4F1A"/>
    <w:rsid w:val="00614C46"/>
    <w:rsid w:val="0062173D"/>
    <w:rsid w:val="006275E1"/>
    <w:rsid w:val="006538C0"/>
    <w:rsid w:val="006A0A99"/>
    <w:rsid w:val="006D594E"/>
    <w:rsid w:val="00710916"/>
    <w:rsid w:val="00714A48"/>
    <w:rsid w:val="00741C47"/>
    <w:rsid w:val="00775F46"/>
    <w:rsid w:val="00780069"/>
    <w:rsid w:val="007D05BA"/>
    <w:rsid w:val="008216CC"/>
    <w:rsid w:val="00840E3F"/>
    <w:rsid w:val="00873946"/>
    <w:rsid w:val="00893F1F"/>
    <w:rsid w:val="008D7F4E"/>
    <w:rsid w:val="008E6CB5"/>
    <w:rsid w:val="00922FBC"/>
    <w:rsid w:val="00923280"/>
    <w:rsid w:val="0092338A"/>
    <w:rsid w:val="00941150"/>
    <w:rsid w:val="0097122E"/>
    <w:rsid w:val="00981EBA"/>
    <w:rsid w:val="00991B02"/>
    <w:rsid w:val="009B278D"/>
    <w:rsid w:val="00A053E1"/>
    <w:rsid w:val="00A30B74"/>
    <w:rsid w:val="00A909D6"/>
    <w:rsid w:val="00A94F7B"/>
    <w:rsid w:val="00B46E65"/>
    <w:rsid w:val="00B519CD"/>
    <w:rsid w:val="00B63718"/>
    <w:rsid w:val="00B723D6"/>
    <w:rsid w:val="00B72C15"/>
    <w:rsid w:val="00B910E4"/>
    <w:rsid w:val="00B963AF"/>
    <w:rsid w:val="00BD3AE1"/>
    <w:rsid w:val="00C1200D"/>
    <w:rsid w:val="00C25A91"/>
    <w:rsid w:val="00C43B75"/>
    <w:rsid w:val="00C473FF"/>
    <w:rsid w:val="00C504C0"/>
    <w:rsid w:val="00C56F8F"/>
    <w:rsid w:val="00C80652"/>
    <w:rsid w:val="00C95142"/>
    <w:rsid w:val="00C97B30"/>
    <w:rsid w:val="00CD36BA"/>
    <w:rsid w:val="00CD7A0E"/>
    <w:rsid w:val="00CE0DC3"/>
    <w:rsid w:val="00D24F5D"/>
    <w:rsid w:val="00D930C4"/>
    <w:rsid w:val="00D95067"/>
    <w:rsid w:val="00DB425A"/>
    <w:rsid w:val="00DD2355"/>
    <w:rsid w:val="00DD5901"/>
    <w:rsid w:val="00DE4F4A"/>
    <w:rsid w:val="00E1379F"/>
    <w:rsid w:val="00E96C76"/>
    <w:rsid w:val="00EB23CE"/>
    <w:rsid w:val="00EF786E"/>
    <w:rsid w:val="00F00D84"/>
    <w:rsid w:val="00F03905"/>
    <w:rsid w:val="00F621C4"/>
    <w:rsid w:val="00F74221"/>
    <w:rsid w:val="00F7505A"/>
    <w:rsid w:val="00FA40E6"/>
    <w:rsid w:val="00FE6AC9"/>
    <w:rsid w:val="016941A0"/>
    <w:rsid w:val="043B2EAD"/>
    <w:rsid w:val="05CD061E"/>
    <w:rsid w:val="080849AF"/>
    <w:rsid w:val="09BA0A50"/>
    <w:rsid w:val="0CED1904"/>
    <w:rsid w:val="1083680B"/>
    <w:rsid w:val="122C2101"/>
    <w:rsid w:val="12473866"/>
    <w:rsid w:val="1351449B"/>
    <w:rsid w:val="138C2E16"/>
    <w:rsid w:val="143B7776"/>
    <w:rsid w:val="17034184"/>
    <w:rsid w:val="196440B8"/>
    <w:rsid w:val="19F45A67"/>
    <w:rsid w:val="1BB33DA5"/>
    <w:rsid w:val="21635C00"/>
    <w:rsid w:val="231B319B"/>
    <w:rsid w:val="23922880"/>
    <w:rsid w:val="24493521"/>
    <w:rsid w:val="253B6D01"/>
    <w:rsid w:val="25AE1813"/>
    <w:rsid w:val="29781BDC"/>
    <w:rsid w:val="2C08701B"/>
    <w:rsid w:val="2D757CA7"/>
    <w:rsid w:val="33C03219"/>
    <w:rsid w:val="34C21DA4"/>
    <w:rsid w:val="36E7255D"/>
    <w:rsid w:val="378E0F6A"/>
    <w:rsid w:val="3BB47C7C"/>
    <w:rsid w:val="3BC44428"/>
    <w:rsid w:val="3CEF4B2F"/>
    <w:rsid w:val="3D0E630E"/>
    <w:rsid w:val="41203BA6"/>
    <w:rsid w:val="438F3C66"/>
    <w:rsid w:val="46CD7A34"/>
    <w:rsid w:val="472D0D37"/>
    <w:rsid w:val="485303D4"/>
    <w:rsid w:val="4A246FC0"/>
    <w:rsid w:val="4A8C219C"/>
    <w:rsid w:val="4ECA5D66"/>
    <w:rsid w:val="4F6E7AEE"/>
    <w:rsid w:val="501A5ADD"/>
    <w:rsid w:val="50892358"/>
    <w:rsid w:val="50A43895"/>
    <w:rsid w:val="52B9640E"/>
    <w:rsid w:val="56A40CE5"/>
    <w:rsid w:val="57C86C54"/>
    <w:rsid w:val="59B83A98"/>
    <w:rsid w:val="5A4A08C9"/>
    <w:rsid w:val="5C3343A1"/>
    <w:rsid w:val="5C627366"/>
    <w:rsid w:val="5CE67A24"/>
    <w:rsid w:val="609D7500"/>
    <w:rsid w:val="65AB5063"/>
    <w:rsid w:val="65E25E59"/>
    <w:rsid w:val="684D5AC1"/>
    <w:rsid w:val="68E464EF"/>
    <w:rsid w:val="69557DDE"/>
    <w:rsid w:val="695A260F"/>
    <w:rsid w:val="69726A9D"/>
    <w:rsid w:val="6EA83A3B"/>
    <w:rsid w:val="70037BFB"/>
    <w:rsid w:val="700C6F8E"/>
    <w:rsid w:val="75864A53"/>
    <w:rsid w:val="75F1249E"/>
    <w:rsid w:val="76046742"/>
    <w:rsid w:val="7B065502"/>
    <w:rsid w:val="7C4463D1"/>
    <w:rsid w:val="7D284F5A"/>
    <w:rsid w:val="7D3B6B3F"/>
    <w:rsid w:val="7DAC4138"/>
    <w:rsid w:val="7E7649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autoRedefine/>
    <w:qFormat/>
    <w:uiPriority w:val="0"/>
    <w:pPr>
      <w:keepNext/>
      <w:keepLines/>
      <w:spacing w:before="260" w:after="260" w:line="413" w:lineRule="auto"/>
      <w:outlineLvl w:val="1"/>
    </w:pPr>
    <w:rPr>
      <w:rFonts w:ascii="Arial" w:hAnsi="Arial" w:eastAsia="宋体"/>
      <w:b/>
      <w:sz w:val="32"/>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link w:val="30"/>
    <w:autoRedefine/>
    <w:qFormat/>
    <w:uiPriority w:val="0"/>
    <w:pPr>
      <w:spacing w:after="120"/>
    </w:pPr>
  </w:style>
  <w:style w:type="paragraph" w:styleId="4">
    <w:name w:val="footer"/>
    <w:basedOn w:val="1"/>
    <w:link w:val="28"/>
    <w:autoRedefine/>
    <w:qFormat/>
    <w:uiPriority w:val="0"/>
    <w:pPr>
      <w:tabs>
        <w:tab w:val="center" w:pos="4153"/>
        <w:tab w:val="right" w:pos="8306"/>
      </w:tabs>
      <w:snapToGrid w:val="0"/>
    </w:pPr>
    <w:rPr>
      <w:sz w:val="18"/>
      <w:szCs w:val="18"/>
    </w:rPr>
  </w:style>
  <w:style w:type="paragraph" w:styleId="5">
    <w:name w:val="header"/>
    <w:basedOn w:val="1"/>
    <w:link w:val="27"/>
    <w:autoRedefine/>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Heading #1|1_"/>
    <w:basedOn w:val="8"/>
    <w:link w:val="10"/>
    <w:autoRedefine/>
    <w:qFormat/>
    <w:uiPriority w:val="0"/>
    <w:rPr>
      <w:rFonts w:ascii="宋体" w:hAnsi="宋体" w:eastAsia="宋体" w:cs="宋体"/>
      <w:sz w:val="40"/>
      <w:szCs w:val="40"/>
      <w:u w:val="none"/>
      <w:shd w:val="clear" w:color="auto" w:fill="auto"/>
      <w:lang w:val="zh-TW" w:eastAsia="zh-TW" w:bidi="zh-TW"/>
    </w:rPr>
  </w:style>
  <w:style w:type="paragraph" w:customStyle="1" w:styleId="10">
    <w:name w:val="Heading #1|1"/>
    <w:basedOn w:val="1"/>
    <w:link w:val="9"/>
    <w:autoRedefine/>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1">
    <w:name w:val="Body text|1_"/>
    <w:basedOn w:val="8"/>
    <w:link w:val="12"/>
    <w:autoRedefine/>
    <w:qFormat/>
    <w:uiPriority w:val="0"/>
    <w:rPr>
      <w:rFonts w:ascii="宋体" w:hAnsi="宋体" w:eastAsia="宋体" w:cs="宋体"/>
      <w:sz w:val="28"/>
      <w:szCs w:val="28"/>
      <w:u w:val="none"/>
      <w:shd w:val="clear" w:color="auto" w:fill="auto"/>
      <w:lang w:val="zh-TW" w:eastAsia="zh-TW" w:bidi="zh-TW"/>
    </w:rPr>
  </w:style>
  <w:style w:type="paragraph" w:customStyle="1" w:styleId="12">
    <w:name w:val="Body text|1"/>
    <w:basedOn w:val="1"/>
    <w:link w:val="11"/>
    <w:autoRedefine/>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3">
    <w:name w:val="Header or footer|2_"/>
    <w:basedOn w:val="8"/>
    <w:link w:val="14"/>
    <w:autoRedefine/>
    <w:qFormat/>
    <w:uiPriority w:val="0"/>
    <w:rPr>
      <w:sz w:val="20"/>
      <w:szCs w:val="20"/>
      <w:u w:val="none"/>
      <w:shd w:val="clear" w:color="auto" w:fill="auto"/>
      <w:lang w:val="zh-TW" w:eastAsia="zh-TW" w:bidi="zh-TW"/>
    </w:rPr>
  </w:style>
  <w:style w:type="paragraph" w:customStyle="1" w:styleId="14">
    <w:name w:val="Header or footer|2"/>
    <w:basedOn w:val="1"/>
    <w:link w:val="13"/>
    <w:autoRedefine/>
    <w:qFormat/>
    <w:uiPriority w:val="0"/>
    <w:rPr>
      <w:sz w:val="20"/>
      <w:szCs w:val="20"/>
      <w:lang w:val="zh-TW" w:eastAsia="zh-TW" w:bidi="zh-TW"/>
    </w:rPr>
  </w:style>
  <w:style w:type="character" w:customStyle="1" w:styleId="15">
    <w:name w:val="Header or footer|1_"/>
    <w:basedOn w:val="8"/>
    <w:link w:val="16"/>
    <w:autoRedefine/>
    <w:qFormat/>
    <w:uiPriority w:val="0"/>
    <w:rPr>
      <w:rFonts w:ascii="宋体" w:hAnsi="宋体" w:eastAsia="宋体" w:cs="宋体"/>
      <w:sz w:val="26"/>
      <w:szCs w:val="26"/>
      <w:u w:val="none"/>
      <w:shd w:val="clear" w:color="auto" w:fill="auto"/>
      <w:lang w:val="zh-TW" w:eastAsia="zh-TW" w:bidi="zh-TW"/>
    </w:rPr>
  </w:style>
  <w:style w:type="paragraph" w:customStyle="1" w:styleId="16">
    <w:name w:val="Header or footer|1"/>
    <w:basedOn w:val="1"/>
    <w:link w:val="15"/>
    <w:autoRedefine/>
    <w:qFormat/>
    <w:uiPriority w:val="0"/>
    <w:rPr>
      <w:rFonts w:ascii="宋体" w:hAnsi="宋体" w:eastAsia="宋体" w:cs="宋体"/>
      <w:sz w:val="26"/>
      <w:szCs w:val="26"/>
      <w:lang w:val="zh-TW" w:eastAsia="zh-TW" w:bidi="zh-TW"/>
    </w:rPr>
  </w:style>
  <w:style w:type="character" w:customStyle="1" w:styleId="17">
    <w:name w:val="Body text|2_"/>
    <w:basedOn w:val="8"/>
    <w:link w:val="18"/>
    <w:autoRedefine/>
    <w:qFormat/>
    <w:uiPriority w:val="0"/>
    <w:rPr>
      <w:rFonts w:ascii="宋体" w:hAnsi="宋体" w:eastAsia="宋体" w:cs="宋体"/>
      <w:sz w:val="22"/>
      <w:szCs w:val="22"/>
      <w:u w:val="none"/>
      <w:shd w:val="clear" w:color="auto" w:fill="auto"/>
      <w:lang w:val="zh-TW" w:eastAsia="zh-TW" w:bidi="zh-TW"/>
    </w:rPr>
  </w:style>
  <w:style w:type="paragraph" w:customStyle="1" w:styleId="18">
    <w:name w:val="Body text|2"/>
    <w:basedOn w:val="1"/>
    <w:link w:val="17"/>
    <w:autoRedefine/>
    <w:qFormat/>
    <w:uiPriority w:val="0"/>
    <w:pPr>
      <w:spacing w:after="240"/>
    </w:pPr>
    <w:rPr>
      <w:rFonts w:ascii="宋体" w:hAnsi="宋体" w:eastAsia="宋体" w:cs="宋体"/>
      <w:sz w:val="22"/>
      <w:szCs w:val="22"/>
      <w:lang w:val="zh-TW" w:eastAsia="zh-TW" w:bidi="zh-TW"/>
    </w:rPr>
  </w:style>
  <w:style w:type="character" w:customStyle="1" w:styleId="19">
    <w:name w:val="Other|1_"/>
    <w:basedOn w:val="8"/>
    <w:link w:val="20"/>
    <w:autoRedefine/>
    <w:qFormat/>
    <w:uiPriority w:val="0"/>
    <w:rPr>
      <w:rFonts w:ascii="宋体" w:hAnsi="宋体" w:eastAsia="宋体" w:cs="宋体"/>
      <w:sz w:val="28"/>
      <w:szCs w:val="28"/>
      <w:u w:val="none"/>
      <w:shd w:val="clear" w:color="auto" w:fill="auto"/>
      <w:lang w:val="zh-TW" w:eastAsia="zh-TW" w:bidi="zh-TW"/>
    </w:rPr>
  </w:style>
  <w:style w:type="paragraph" w:customStyle="1" w:styleId="20">
    <w:name w:val="Other|1"/>
    <w:basedOn w:val="1"/>
    <w:link w:val="19"/>
    <w:autoRedefine/>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1">
    <w:name w:val="Other|2_"/>
    <w:basedOn w:val="8"/>
    <w:link w:val="22"/>
    <w:autoRedefine/>
    <w:qFormat/>
    <w:uiPriority w:val="0"/>
    <w:rPr>
      <w:rFonts w:ascii="宋体" w:hAnsi="宋体" w:eastAsia="宋体" w:cs="宋体"/>
      <w:sz w:val="15"/>
      <w:szCs w:val="15"/>
      <w:u w:val="none"/>
      <w:shd w:val="clear" w:color="auto" w:fill="auto"/>
      <w:lang w:val="zh-TW" w:eastAsia="zh-TW" w:bidi="zh-TW"/>
    </w:rPr>
  </w:style>
  <w:style w:type="paragraph" w:customStyle="1" w:styleId="22">
    <w:name w:val="Other|2"/>
    <w:basedOn w:val="1"/>
    <w:link w:val="21"/>
    <w:autoRedefine/>
    <w:qFormat/>
    <w:uiPriority w:val="0"/>
    <w:pPr>
      <w:spacing w:line="177" w:lineRule="exact"/>
      <w:jc w:val="center"/>
    </w:pPr>
    <w:rPr>
      <w:rFonts w:ascii="宋体" w:hAnsi="宋体" w:eastAsia="宋体" w:cs="宋体"/>
      <w:sz w:val="15"/>
      <w:szCs w:val="15"/>
      <w:lang w:val="zh-TW" w:eastAsia="zh-TW" w:bidi="zh-TW"/>
    </w:rPr>
  </w:style>
  <w:style w:type="character" w:customStyle="1" w:styleId="23">
    <w:name w:val="Body text|3_"/>
    <w:basedOn w:val="8"/>
    <w:link w:val="24"/>
    <w:autoRedefine/>
    <w:qFormat/>
    <w:uiPriority w:val="0"/>
    <w:rPr>
      <w:rFonts w:ascii="宋体" w:hAnsi="宋体" w:eastAsia="宋体" w:cs="宋体"/>
      <w:sz w:val="15"/>
      <w:szCs w:val="15"/>
      <w:u w:val="none"/>
      <w:shd w:val="clear" w:color="auto" w:fill="auto"/>
      <w:lang w:val="zh-TW" w:eastAsia="zh-TW" w:bidi="zh-TW"/>
    </w:rPr>
  </w:style>
  <w:style w:type="paragraph" w:customStyle="1" w:styleId="24">
    <w:name w:val="Body text|3"/>
    <w:basedOn w:val="1"/>
    <w:link w:val="23"/>
    <w:autoRedefine/>
    <w:qFormat/>
    <w:uiPriority w:val="0"/>
    <w:rPr>
      <w:rFonts w:ascii="宋体" w:hAnsi="宋体" w:eastAsia="宋体" w:cs="宋体"/>
      <w:sz w:val="15"/>
      <w:szCs w:val="15"/>
      <w:lang w:val="zh-TW" w:eastAsia="zh-TW" w:bidi="zh-TW"/>
    </w:rPr>
  </w:style>
  <w:style w:type="character" w:customStyle="1" w:styleId="25">
    <w:name w:val="Picture caption|1_"/>
    <w:basedOn w:val="8"/>
    <w:link w:val="26"/>
    <w:autoRedefine/>
    <w:qFormat/>
    <w:uiPriority w:val="0"/>
    <w:rPr>
      <w:rFonts w:ascii="宋体" w:hAnsi="宋体" w:eastAsia="宋体" w:cs="宋体"/>
      <w:sz w:val="20"/>
      <w:szCs w:val="20"/>
      <w:u w:val="none"/>
      <w:shd w:val="clear" w:color="auto" w:fill="auto"/>
      <w:lang w:val="zh-TW" w:eastAsia="zh-TW" w:bidi="zh-TW"/>
    </w:rPr>
  </w:style>
  <w:style w:type="paragraph" w:customStyle="1" w:styleId="26">
    <w:name w:val="Picture caption|1"/>
    <w:basedOn w:val="1"/>
    <w:link w:val="25"/>
    <w:autoRedefine/>
    <w:qFormat/>
    <w:uiPriority w:val="0"/>
    <w:pPr>
      <w:jc w:val="center"/>
    </w:pPr>
    <w:rPr>
      <w:rFonts w:ascii="宋体" w:hAnsi="宋体" w:eastAsia="宋体" w:cs="宋体"/>
      <w:sz w:val="20"/>
      <w:szCs w:val="20"/>
      <w:lang w:val="zh-TW" w:eastAsia="zh-TW" w:bidi="zh-TW"/>
    </w:rPr>
  </w:style>
  <w:style w:type="character" w:customStyle="1" w:styleId="27">
    <w:name w:val="页眉 Char"/>
    <w:basedOn w:val="8"/>
    <w:link w:val="5"/>
    <w:autoRedefine/>
    <w:qFormat/>
    <w:uiPriority w:val="0"/>
    <w:rPr>
      <w:rFonts w:eastAsia="Times New Roman"/>
      <w:color w:val="000000"/>
      <w:sz w:val="18"/>
      <w:szCs w:val="18"/>
      <w:lang w:eastAsia="en-US" w:bidi="en-US"/>
    </w:rPr>
  </w:style>
  <w:style w:type="character" w:customStyle="1" w:styleId="28">
    <w:name w:val="页脚 Char"/>
    <w:basedOn w:val="8"/>
    <w:link w:val="4"/>
    <w:autoRedefine/>
    <w:qFormat/>
    <w:uiPriority w:val="0"/>
    <w:rPr>
      <w:rFonts w:eastAsia="Times New Roman"/>
      <w:color w:val="000000"/>
      <w:sz w:val="18"/>
      <w:szCs w:val="18"/>
      <w:lang w:eastAsia="en-US" w:bidi="en-US"/>
    </w:rPr>
  </w:style>
  <w:style w:type="paragraph" w:customStyle="1" w:styleId="29">
    <w:name w:val="NOTE_Normal"/>
    <w:basedOn w:val="1"/>
    <w:next w:val="3"/>
    <w:autoRedefine/>
    <w:qFormat/>
    <w:uiPriority w:val="0"/>
    <w:pPr>
      <w:spacing w:after="160" w:line="259" w:lineRule="auto"/>
      <w:jc w:val="both"/>
    </w:pPr>
    <w:rPr>
      <w:rFonts w:ascii="Calibri" w:hAnsi="Calibri" w:eastAsia="宋体" w:cs="Arial"/>
      <w:color w:val="auto"/>
      <w:kern w:val="2"/>
      <w:sz w:val="21"/>
      <w:lang w:eastAsia="zh-CN" w:bidi="ar-SA"/>
    </w:rPr>
  </w:style>
  <w:style w:type="character" w:customStyle="1" w:styleId="30">
    <w:name w:val="正文文本 Char"/>
    <w:basedOn w:val="8"/>
    <w:link w:val="3"/>
    <w:autoRedefine/>
    <w:qFormat/>
    <w:uiPriority w:val="0"/>
    <w:rPr>
      <w:rFonts w:eastAsia="Times New Roman"/>
      <w:color w:val="000000"/>
      <w:sz w:val="24"/>
      <w:szCs w:val="24"/>
      <w:lang w:eastAsia="en-US" w:bidi="en-US"/>
    </w:rPr>
  </w:style>
  <w:style w:type="character" w:customStyle="1" w:styleId="31">
    <w:name w:val="font11"/>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255780-2BA4-4433-9966-2B7DCE716B1E}">
  <ds:schemaRefs/>
</ds:datastoreItem>
</file>

<file path=docProps/app.xml><?xml version="1.0" encoding="utf-8"?>
<Properties xmlns="http://schemas.openxmlformats.org/officeDocument/2006/extended-properties" xmlns:vt="http://schemas.openxmlformats.org/officeDocument/2006/docPropsVTypes">
  <Template>Normal</Template>
  <Pages>19</Pages>
  <Words>11236</Words>
  <Characters>11612</Characters>
  <Lines>70</Lines>
  <Paragraphs>19</Paragraphs>
  <TotalTime>16</TotalTime>
  <ScaleCrop>false</ScaleCrop>
  <LinksUpToDate>false</LinksUpToDate>
  <CharactersWithSpaces>11617</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2023-08-15T07:15:00Z</dcterms:created>
  <dc:creator>WPS Office</dc:creator>
  <cp:lastModifiedBy>彭裕惠</cp:lastModifiedBy>
  <dcterms:modified xsi:type="dcterms:W3CDTF">2025-09-08T02:52:47Z</dcterms:modified>
  <dc:title>KM_C364e-20200923144555</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AD9E3D04A7CB47C69453F84E0CD76AF6_13</vt:lpwstr>
  </property>
  <property fmtid="{D5CDD505-2E9C-101B-9397-08002B2CF9AE}" pid="4" name="KSOTemplateDocerSaveRecord">
    <vt:lpwstr>eyJoZGlkIjoiZDZhZGYwNTVjNmEwZDlmYmM0M2UzYmUxZTMyY2ZhNTgiLCJ1c2VySWQiOiIyOTU1NTMyNTMifQ==</vt:lpwstr>
  </property>
</Properties>
</file>