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173EF7">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2</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345D6B6F">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val="en-US" w:eastAsia="zh-CN"/>
        </w:rPr>
        <w:t>五</w:t>
      </w:r>
      <w:r>
        <w:rPr>
          <w:rFonts w:hint="eastAsia" w:ascii="方正小标宋_GBK" w:hAnsi="方正小标宋_GBK" w:eastAsia="方正小标宋_GBK" w:cs="方正小标宋_GBK"/>
          <w:sz w:val="44"/>
          <w:szCs w:val="44"/>
        </w:rPr>
        <w:t>次会议提案</w:t>
      </w:r>
    </w:p>
    <w:tbl>
      <w:tblPr>
        <w:tblStyle w:val="10"/>
        <w:tblW w:w="91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948"/>
      </w:tblGrid>
      <w:tr w14:paraId="727AA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2D20615E">
            <w:pPr>
              <w:spacing w:line="680" w:lineRule="exact"/>
              <w:jc w:val="center"/>
              <w:rPr>
                <w:rFonts w:ascii="仿宋_GB2312" w:hAnsi="宋体" w:eastAsia="仿宋_GB2312"/>
                <w:sz w:val="32"/>
                <w:szCs w:val="32"/>
              </w:rPr>
            </w:pPr>
            <w:r>
              <w:rPr>
                <w:rFonts w:hint="eastAsia" w:ascii="仿宋_GB2312" w:hAnsi="宋体" w:eastAsia="仿宋_GB2312"/>
                <w:sz w:val="32"/>
                <w:szCs w:val="32"/>
              </w:rPr>
              <w:t>题</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目</w:t>
            </w:r>
          </w:p>
        </w:tc>
        <w:tc>
          <w:tcPr>
            <w:tcW w:w="7193" w:type="dxa"/>
            <w:gridSpan w:val="5"/>
            <w:tcBorders>
              <w:top w:val="single" w:color="auto" w:sz="4" w:space="0"/>
              <w:left w:val="single" w:color="auto" w:sz="4" w:space="0"/>
              <w:bottom w:val="single" w:color="auto" w:sz="4" w:space="0"/>
              <w:right w:val="single" w:color="auto" w:sz="4" w:space="0"/>
            </w:tcBorders>
            <w:noWrap w:val="0"/>
            <w:vAlign w:val="center"/>
          </w:tcPr>
          <w:p w14:paraId="509B71FA">
            <w:pPr>
              <w:jc w:val="center"/>
              <w:rPr>
                <w:rFonts w:hint="default"/>
                <w:b w:val="0"/>
                <w:bCs w:val="0"/>
                <w:sz w:val="32"/>
                <w:szCs w:val="32"/>
                <w:lang w:val="en-US" w:eastAsia="zh-CN"/>
              </w:rPr>
            </w:pPr>
            <w:r>
              <w:rPr>
                <w:rFonts w:hint="eastAsia" w:ascii="仿宋_GB2312" w:hAnsi="宋体" w:eastAsia="仿宋_GB2312" w:cs="Times New Roman"/>
                <w:sz w:val="32"/>
                <w:szCs w:val="32"/>
                <w:lang w:val="en-US" w:eastAsia="zh-CN"/>
              </w:rPr>
              <w:t>加速发展人工智能产业  赋能番禺区“智造创新城”建设迈向新高度</w:t>
            </w:r>
          </w:p>
        </w:tc>
      </w:tr>
      <w:tr w14:paraId="14F8B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33464CC6">
            <w:pPr>
              <w:spacing w:line="68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提</w:t>
            </w: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rPr>
              <w:t>案</w:t>
            </w: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rPr>
              <w:t>者</w:t>
            </w:r>
          </w:p>
          <w:p w14:paraId="5FFEE706">
            <w:pPr>
              <w:spacing w:line="680" w:lineRule="exact"/>
              <w:jc w:val="center"/>
              <w:rPr>
                <w:rFonts w:hint="eastAsia" w:eastAsia="仿宋_GB2312"/>
                <w:lang w:eastAsia="zh-CN"/>
              </w:rPr>
            </w:pPr>
            <w:r>
              <w:rPr>
                <w:rFonts w:hint="eastAsia" w:ascii="仿宋_GB2312" w:hAnsi="宋体" w:eastAsia="仿宋_GB2312" w:cs="Times New Roman"/>
                <w:sz w:val="28"/>
                <w:szCs w:val="28"/>
                <w:lang w:eastAsia="zh-CN"/>
              </w:rPr>
              <w:t>（主笔）</w:t>
            </w:r>
          </w:p>
        </w:tc>
        <w:tc>
          <w:tcPr>
            <w:tcW w:w="2977" w:type="dxa"/>
            <w:gridSpan w:val="2"/>
            <w:tcBorders>
              <w:top w:val="single" w:color="auto" w:sz="4" w:space="0"/>
              <w:left w:val="single" w:color="auto" w:sz="4" w:space="0"/>
              <w:bottom w:val="single" w:color="auto" w:sz="4" w:space="0"/>
              <w:right w:val="single" w:color="auto" w:sz="4" w:space="0"/>
            </w:tcBorders>
            <w:noWrap w:val="0"/>
            <w:vAlign w:val="center"/>
          </w:tcPr>
          <w:p w14:paraId="781BBAE9">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民建番禺区基层委员会（</w:t>
            </w:r>
            <w:r>
              <w:rPr>
                <w:rFonts w:hint="eastAsia" w:ascii="仿宋_GB2312" w:hAnsi="宋体" w:eastAsia="仿宋_GB2312" w:cs="Times New Roman"/>
                <w:sz w:val="32"/>
                <w:szCs w:val="32"/>
                <w:lang w:val="en-US" w:eastAsia="zh-CN"/>
              </w:rPr>
              <w:t>刘悦敏</w:t>
            </w:r>
            <w:r>
              <w:rPr>
                <w:rFonts w:hint="eastAsia" w:ascii="仿宋_GB2312" w:hAnsi="宋体" w:eastAsia="仿宋_GB2312"/>
                <w:sz w:val="32"/>
                <w:szCs w:val="32"/>
                <w:lang w:val="en-US" w:eastAsia="zh-CN"/>
              </w:rPr>
              <w:t>）</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5726701">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940" w:type="dxa"/>
            <w:gridSpan w:val="2"/>
            <w:tcBorders>
              <w:top w:val="single" w:color="auto" w:sz="4" w:space="0"/>
              <w:left w:val="single" w:color="auto" w:sz="4" w:space="0"/>
              <w:bottom w:val="single" w:color="auto" w:sz="4" w:space="0"/>
              <w:right w:val="single" w:color="auto" w:sz="4" w:space="0"/>
            </w:tcBorders>
            <w:noWrap w:val="0"/>
            <w:vAlign w:val="center"/>
          </w:tcPr>
          <w:p w14:paraId="18A6A831">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cs="Times New Roman"/>
                <w:sz w:val="32"/>
                <w:szCs w:val="32"/>
                <w:lang w:val="en-US" w:eastAsia="zh-CN"/>
              </w:rPr>
              <w:t>刘悦敏</w:t>
            </w:r>
          </w:p>
        </w:tc>
      </w:tr>
      <w:tr w14:paraId="4CE1A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1DAA02B8">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center"/>
          </w:tcPr>
          <w:p w14:paraId="171780BD">
            <w:pPr>
              <w:spacing w:line="680" w:lineRule="exact"/>
              <w:jc w:val="both"/>
              <w:rPr>
                <w:rFonts w:hint="default" w:ascii="仿宋_GB2312" w:hAnsi="宋体" w:eastAsia="仿宋_GB2312"/>
                <w:sz w:val="32"/>
                <w:szCs w:val="32"/>
                <w:lang w:val="en-US" w:eastAsia="zh-CN"/>
              </w:rPr>
            </w:pPr>
            <w:r>
              <w:rPr>
                <w:rFonts w:hint="eastAsia" w:ascii="仿宋_GB2312" w:hAnsi="宋体" w:eastAsia="仿宋_GB2312" w:cs="Times New Roman"/>
                <w:sz w:val="32"/>
                <w:szCs w:val="32"/>
                <w:lang w:val="en-US" w:eastAsia="zh-CN"/>
              </w:rPr>
              <w:t>番禺民建基层委</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0425C98">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940" w:type="dxa"/>
            <w:gridSpan w:val="2"/>
            <w:tcBorders>
              <w:top w:val="single" w:color="auto" w:sz="4" w:space="0"/>
              <w:left w:val="single" w:color="auto" w:sz="4" w:space="0"/>
              <w:bottom w:val="single" w:color="auto" w:sz="4" w:space="0"/>
              <w:right w:val="single" w:color="auto" w:sz="4" w:space="0"/>
            </w:tcBorders>
            <w:noWrap w:val="0"/>
            <w:vAlign w:val="center"/>
          </w:tcPr>
          <w:p w14:paraId="321ECF7D">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cs="Times New Roman"/>
                <w:sz w:val="32"/>
                <w:szCs w:val="32"/>
                <w:lang w:val="en-US" w:eastAsia="zh-CN"/>
              </w:rPr>
              <w:t>委员</w:t>
            </w:r>
          </w:p>
        </w:tc>
      </w:tr>
      <w:tr w14:paraId="20998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5237C9C1">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46F0184">
            <w:pPr>
              <w:spacing w:line="680" w:lineRule="exact"/>
              <w:jc w:val="center"/>
              <w:rPr>
                <w:rFonts w:hint="default" w:ascii="仿宋_GB2312" w:hAnsi="宋体" w:eastAsia="仿宋_GB2312"/>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14:paraId="353F289B">
            <w:pPr>
              <w:spacing w:line="680" w:lineRule="exact"/>
              <w:jc w:val="center"/>
              <w:rPr>
                <w:rFonts w:ascii="仿宋_GB2312" w:hAnsi="宋体" w:eastAsia="仿宋_GB2312"/>
                <w:sz w:val="32"/>
                <w:szCs w:val="32"/>
              </w:rPr>
            </w:pPr>
            <w:r>
              <w:rPr>
                <w:rFonts w:hint="eastAsia" w:ascii="仿宋_GB2312" w:hAnsi="宋体" w:eastAsia="仿宋_GB2312"/>
                <w:sz w:val="32"/>
                <w:szCs w:val="32"/>
              </w:rPr>
              <w:t>办公电话</w:t>
            </w:r>
          </w:p>
        </w:tc>
        <w:tc>
          <w:tcPr>
            <w:tcW w:w="2940" w:type="dxa"/>
            <w:gridSpan w:val="2"/>
            <w:tcBorders>
              <w:top w:val="single" w:color="auto" w:sz="4" w:space="0"/>
              <w:left w:val="single" w:color="auto" w:sz="4" w:space="0"/>
              <w:bottom w:val="single" w:color="auto" w:sz="4" w:space="0"/>
              <w:right w:val="single" w:color="auto" w:sz="4" w:space="0"/>
            </w:tcBorders>
            <w:noWrap w:val="0"/>
            <w:vAlign w:val="center"/>
          </w:tcPr>
          <w:p w14:paraId="0EAB7451">
            <w:pPr>
              <w:spacing w:line="680" w:lineRule="exact"/>
              <w:jc w:val="center"/>
              <w:rPr>
                <w:rFonts w:hint="default" w:ascii="仿宋_GB2312" w:hAnsi="宋体" w:eastAsia="仿宋_GB2312"/>
                <w:sz w:val="32"/>
                <w:szCs w:val="32"/>
                <w:lang w:val="en-US" w:eastAsia="zh-CN"/>
              </w:rPr>
            </w:pPr>
          </w:p>
        </w:tc>
      </w:tr>
      <w:tr w14:paraId="40C72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11193AEB">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center"/>
          </w:tcPr>
          <w:p w14:paraId="55190F04">
            <w:pPr>
              <w:spacing w:line="680" w:lineRule="exact"/>
              <w:jc w:val="center"/>
              <w:rPr>
                <w:rFonts w:hint="default" w:ascii="仿宋_GB2312" w:hAnsi="宋体" w:eastAsia="仿宋_GB2312"/>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563D061E">
            <w:pPr>
              <w:spacing w:line="680" w:lineRule="exact"/>
              <w:jc w:val="center"/>
              <w:rPr>
                <w:rFonts w:ascii="仿宋_GB2312" w:hAnsi="宋体" w:eastAsia="仿宋_GB2312"/>
                <w:sz w:val="32"/>
                <w:szCs w:val="32"/>
              </w:rPr>
            </w:pPr>
            <w:r>
              <w:rPr>
                <w:rFonts w:hint="eastAsia" w:ascii="仿宋_GB2312" w:hAnsi="宋体" w:eastAsia="仿宋_GB2312"/>
                <w:sz w:val="32"/>
                <w:szCs w:val="32"/>
              </w:rPr>
              <w:t>邮编</w:t>
            </w:r>
          </w:p>
        </w:tc>
        <w:tc>
          <w:tcPr>
            <w:tcW w:w="1948" w:type="dxa"/>
            <w:tcBorders>
              <w:top w:val="single" w:color="auto" w:sz="4" w:space="0"/>
              <w:left w:val="single" w:color="auto" w:sz="4" w:space="0"/>
              <w:bottom w:val="single" w:color="auto" w:sz="4" w:space="0"/>
              <w:right w:val="single" w:color="auto" w:sz="4" w:space="0"/>
            </w:tcBorders>
            <w:noWrap w:val="0"/>
            <w:vAlign w:val="center"/>
          </w:tcPr>
          <w:p w14:paraId="6735DFED">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cs="Times New Roman"/>
                <w:sz w:val="32"/>
                <w:szCs w:val="32"/>
                <w:lang w:val="en-US" w:eastAsia="zh-CN"/>
              </w:rPr>
              <w:t>510000</w:t>
            </w:r>
          </w:p>
        </w:tc>
      </w:tr>
      <w:tr w14:paraId="7D229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14:paraId="7FA0544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联名提案人</w:t>
            </w:r>
          </w:p>
          <w:p w14:paraId="023540C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pacing w:val="-14"/>
                <w:sz w:val="32"/>
                <w:szCs w:val="32"/>
              </w:rPr>
            </w:pPr>
            <w:r>
              <w:rPr>
                <w:rFonts w:hint="eastAsia" w:ascii="仿宋_GB2312" w:hAnsi="宋体" w:eastAsia="仿宋_GB2312"/>
                <w:spacing w:val="-14"/>
                <w:sz w:val="32"/>
                <w:szCs w:val="32"/>
              </w:rPr>
              <w:t>（</w:t>
            </w:r>
            <w:r>
              <w:rPr>
                <w:rFonts w:hint="default" w:ascii="仿宋_GB2312" w:hAnsi="仿宋_GB2312" w:eastAsia="仿宋_GB2312" w:cs="仿宋_GB2312"/>
                <w:kern w:val="2"/>
                <w:sz w:val="28"/>
                <w:szCs w:val="28"/>
                <w:lang w:val="en-US" w:eastAsia="zh-CN" w:bidi="ar-SA"/>
              </w:rPr>
              <w:t>一经提交不得再增加联名提案人</w:t>
            </w:r>
            <w:r>
              <w:rPr>
                <w:rFonts w:hint="eastAsia" w:ascii="仿宋_GB2312" w:hAnsi="宋体" w:eastAsia="仿宋_GB2312"/>
                <w:spacing w:val="-14"/>
                <w:sz w:val="32"/>
                <w:szCs w:val="32"/>
              </w:rPr>
              <w:t>）</w:t>
            </w:r>
          </w:p>
        </w:tc>
        <w:tc>
          <w:tcPr>
            <w:tcW w:w="7193" w:type="dxa"/>
            <w:gridSpan w:val="5"/>
            <w:tcBorders>
              <w:top w:val="single" w:color="auto" w:sz="4" w:space="0"/>
              <w:left w:val="single" w:color="auto" w:sz="4" w:space="0"/>
              <w:bottom w:val="single" w:color="auto" w:sz="4" w:space="0"/>
              <w:right w:val="single" w:color="auto" w:sz="4" w:space="0"/>
            </w:tcBorders>
            <w:noWrap w:val="0"/>
            <w:vAlign w:val="center"/>
          </w:tcPr>
          <w:p w14:paraId="26D87C7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政协小谷围街工作室</w:t>
            </w:r>
          </w:p>
        </w:tc>
      </w:tr>
      <w:tr w14:paraId="794CC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6AF106F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提案委员会</w:t>
            </w:r>
          </w:p>
          <w:p w14:paraId="33DA6E9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审查意见</w:t>
            </w:r>
          </w:p>
        </w:tc>
        <w:tc>
          <w:tcPr>
            <w:tcW w:w="7193" w:type="dxa"/>
            <w:gridSpan w:val="5"/>
            <w:tcBorders>
              <w:top w:val="single" w:color="auto" w:sz="4" w:space="0"/>
              <w:left w:val="single" w:color="auto" w:sz="4" w:space="0"/>
              <w:bottom w:val="single" w:color="auto" w:sz="4" w:space="0"/>
              <w:right w:val="single" w:color="auto" w:sz="4" w:space="0"/>
            </w:tcBorders>
            <w:noWrap w:val="0"/>
            <w:vAlign w:val="center"/>
          </w:tcPr>
          <w:p w14:paraId="18CAC5E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lang w:eastAsia="zh-CN"/>
              </w:rPr>
              <w:t>同意立案</w:t>
            </w:r>
          </w:p>
        </w:tc>
      </w:tr>
    </w:tbl>
    <w:p w14:paraId="7B3A5587">
      <w:pPr>
        <w:spacing w:line="560" w:lineRule="exact"/>
        <w:rPr>
          <w:rFonts w:hint="eastAsia" w:ascii="仿宋" w:hAnsi="仿宋" w:eastAsia="仿宋"/>
          <w:b w:val="0"/>
          <w:bCs w:val="0"/>
          <w:sz w:val="32"/>
          <w:szCs w:val="32"/>
          <w:lang w:val="en-US" w:eastAsia="zh-CN"/>
        </w:rPr>
      </w:pPr>
      <w:r>
        <w:rPr>
          <w:rFonts w:hint="eastAsia" w:ascii="黑体" w:hAnsi="黑体" w:eastAsia="黑体"/>
          <w:b w:val="0"/>
          <w:bCs w:val="0"/>
          <w:sz w:val="32"/>
          <w:szCs w:val="32"/>
        </w:rPr>
        <w:t>根据实际情况在</w:t>
      </w:r>
      <w:r>
        <w:rPr>
          <w:rFonts w:hint="eastAsia" w:ascii="黑体" w:hAnsi="黑体" w:eastAsia="黑体"/>
          <w:b w:val="0"/>
          <w:bCs w:val="0"/>
          <w:sz w:val="32"/>
          <w:szCs w:val="32"/>
          <w:lang w:eastAsia="zh-CN"/>
        </w:rPr>
        <w:t>（）</w:t>
      </w:r>
      <w:r>
        <w:rPr>
          <w:rFonts w:hint="eastAsia" w:ascii="黑体" w:hAnsi="黑体" w:eastAsia="黑体"/>
          <w:b w:val="0"/>
          <w:bCs w:val="0"/>
          <w:sz w:val="32"/>
          <w:szCs w:val="32"/>
        </w:rPr>
        <w:t>内打勾确认：</w:t>
      </w:r>
    </w:p>
    <w:p w14:paraId="3F9E8A48">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14:paraId="024581EE">
      <w:pPr>
        <w:spacing w:line="440" w:lineRule="exact"/>
        <w:rPr>
          <w:rFonts w:hint="eastAsia" w:ascii="黑体" w:hAnsi="黑体" w:eastAsia="黑体"/>
          <w:b/>
          <w:sz w:val="32"/>
          <w:szCs w:val="32"/>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14:paraId="7CC3077B">
      <w:pPr>
        <w:rPr>
          <w:rFonts w:hint="eastAsia"/>
          <w:lang w:val="en-US" w:eastAsia="zh-CN"/>
        </w:rPr>
      </w:pPr>
      <w:r>
        <w:rPr>
          <w:rFonts w:hint="eastAsia"/>
          <w:lang w:val="en-US" w:eastAsia="zh-CN"/>
        </w:rPr>
        <w:br w:type="page"/>
      </w:r>
    </w:p>
    <w:p w14:paraId="237CAEB0">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sz w:val="32"/>
          <w:szCs w:val="32"/>
          <w:lang w:val="en-US" w:eastAsia="zh-CN"/>
        </w:rPr>
      </w:pPr>
    </w:p>
    <w:p w14:paraId="1A849526">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sz w:val="32"/>
          <w:szCs w:val="32"/>
          <w:lang w:val="en-US" w:eastAsia="zh-CN"/>
        </w:rPr>
      </w:pPr>
      <w:r>
        <w:rPr>
          <w:rFonts w:hint="eastAsia" w:ascii="黑体" w:hAnsi="黑体" w:eastAsia="黑体" w:cs="黑体"/>
          <w:b/>
          <w:sz w:val="32"/>
          <w:szCs w:val="32"/>
          <w:lang w:val="en-US" w:eastAsia="zh-CN"/>
        </w:rPr>
        <w:t>理由：</w:t>
      </w:r>
    </w:p>
    <w:p w14:paraId="32104BEC">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 xml:space="preserve">   </w:t>
      </w:r>
      <w:r>
        <w:rPr>
          <w:rFonts w:hint="eastAsia" w:ascii="仿宋_GB2312" w:hAnsi="仿宋_GB2312" w:eastAsia="仿宋_GB2312" w:cs="仿宋_GB2312"/>
          <w:bCs/>
          <w:kern w:val="2"/>
          <w:sz w:val="32"/>
          <w:szCs w:val="32"/>
          <w:lang w:val="en-US" w:eastAsia="zh-CN" w:bidi="ar-SA"/>
        </w:rPr>
        <w:t xml:space="preserve"> 近年来，番禺区紧抓广州人工智能与数字经济试验区大学城片区建设机遇，高度重视与主动谋划人工智能产业发展，积极打造人工智能与数字经济产业集聚区，并取得一定成效：截至2024年，已有72个涵盖人工智能领域的重大项目竣工投产，累计总投资近1000亿元，产业集聚成效初显；在新能源锂电池极片制造检测、高校化学实验室安全监测等领域成功打造人工智能应用场景典型案例；广州大学城科技园等创新载体加速建设，为产业发展提供重要支撑。</w:t>
      </w:r>
    </w:p>
    <w:p w14:paraId="0F62758F">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番禺区人工智能产业虽呈稳步向前之势，但尚未达到关键性、突出性成就，现阶段，主要存在以下不足：</w:t>
      </w:r>
    </w:p>
    <w:p w14:paraId="42A6768E">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
          <w:bCs w:val="0"/>
          <w:kern w:val="2"/>
          <w:sz w:val="32"/>
          <w:szCs w:val="32"/>
          <w:lang w:val="en-US" w:eastAsia="zh-CN" w:bidi="ar-SA"/>
        </w:rPr>
        <w:t>一、智能驾驶行业发展受限。</w:t>
      </w:r>
      <w:r>
        <w:rPr>
          <w:rFonts w:hint="eastAsia" w:ascii="仿宋_GB2312" w:hAnsi="仿宋_GB2312" w:eastAsia="仿宋_GB2312" w:cs="仿宋_GB2312"/>
          <w:bCs/>
          <w:kern w:val="2"/>
          <w:sz w:val="32"/>
          <w:szCs w:val="32"/>
          <w:lang w:val="en-US" w:eastAsia="zh-CN" w:bidi="ar-SA"/>
        </w:rPr>
        <w:t>新能源汽车进入了智能化的下半场，但目前智能驾驶的关键技术研究、基础设施建设、法律法规保障、市场推广与接受度等方面均处于起步阶段。</w:t>
      </w:r>
    </w:p>
    <w:p w14:paraId="4B25E492">
      <w:pPr>
        <w:keepNext w:val="0"/>
        <w:keepLines w:val="0"/>
        <w:pageBreakBefore w:val="0"/>
        <w:numPr>
          <w:ilvl w:val="0"/>
          <w:numId w:val="0"/>
        </w:numPr>
        <w:tabs>
          <w:tab w:val="right" w:pos="8306"/>
        </w:tabs>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bCs w:val="0"/>
          <w:kern w:val="2"/>
          <w:sz w:val="32"/>
          <w:szCs w:val="32"/>
          <w:lang w:val="en-US" w:eastAsia="zh-CN" w:bidi="ar-SA"/>
        </w:rPr>
        <w:t>二、场景应用待拓宽和深化。</w:t>
      </w:r>
      <w:r>
        <w:rPr>
          <w:rFonts w:hint="eastAsia" w:ascii="仿宋_GB2312" w:hAnsi="仿宋_GB2312" w:eastAsia="仿宋_GB2312" w:cs="仿宋_GB2312"/>
          <w:b w:val="0"/>
          <w:bCs/>
          <w:kern w:val="2"/>
          <w:sz w:val="32"/>
          <w:szCs w:val="32"/>
          <w:lang w:val="en-US" w:eastAsia="zh-CN" w:bidi="ar-SA"/>
        </w:rPr>
        <w:t>一是应用场景尚未覆盖全领域，亟需加快推进全域应用场景布局；二是与千行百业的融合度还需进一步提高，人工智能的赋能效应尚未充分释放。</w:t>
      </w:r>
    </w:p>
    <w:p w14:paraId="6E1BACA8">
      <w:pPr>
        <w:keepNext w:val="0"/>
        <w:keepLines w:val="0"/>
        <w:pageBreakBefore w:val="0"/>
        <w:numPr>
          <w:ilvl w:val="0"/>
          <w:numId w:val="0"/>
        </w:numPr>
        <w:tabs>
          <w:tab w:val="right" w:pos="8306"/>
        </w:tabs>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bCs w:val="0"/>
          <w:kern w:val="2"/>
          <w:sz w:val="32"/>
          <w:szCs w:val="32"/>
          <w:lang w:val="en-US" w:eastAsia="zh-CN" w:bidi="ar-SA"/>
        </w:rPr>
        <w:t>三、产业生态不够完善。</w:t>
      </w:r>
      <w:r>
        <w:rPr>
          <w:rFonts w:hint="eastAsia" w:ascii="仿宋_GB2312" w:hAnsi="仿宋_GB2312" w:eastAsia="仿宋_GB2312" w:cs="仿宋_GB2312"/>
          <w:b w:val="0"/>
          <w:bCs/>
          <w:kern w:val="2"/>
          <w:sz w:val="32"/>
          <w:szCs w:val="32"/>
          <w:lang w:val="en-US" w:eastAsia="zh-CN" w:bidi="ar-SA"/>
        </w:rPr>
        <w:t>上下游企业之间的合作不够紧密，资源整合和优化配置效率不高，产业发展协同效应未能充分发挥。</w:t>
      </w:r>
    </w:p>
    <w:p w14:paraId="2D98C75B">
      <w:pPr>
        <w:keepNext w:val="0"/>
        <w:keepLines w:val="0"/>
        <w:pageBreakBefore w:val="0"/>
        <w:numPr>
          <w:ilvl w:val="0"/>
          <w:numId w:val="0"/>
        </w:numPr>
        <w:tabs>
          <w:tab w:val="right" w:pos="8306"/>
        </w:tabs>
        <w:kinsoku/>
        <w:wordWrap/>
        <w:overflowPunct/>
        <w:topLinePunct w:val="0"/>
        <w:autoSpaceDE/>
        <w:autoSpaceDN/>
        <w:bidi w:val="0"/>
        <w:adjustRightInd/>
        <w:snapToGrid/>
        <w:spacing w:line="560" w:lineRule="exact"/>
        <w:ind w:firstLine="642"/>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bCs w:val="0"/>
          <w:kern w:val="2"/>
          <w:sz w:val="32"/>
          <w:szCs w:val="32"/>
          <w:lang w:val="en-US" w:eastAsia="zh-CN" w:bidi="ar-SA"/>
        </w:rPr>
        <w:t>四、具身智能产业发展尚需发力。</w:t>
      </w:r>
      <w:r>
        <w:rPr>
          <w:rFonts w:hint="eastAsia" w:ascii="仿宋_GB2312" w:hAnsi="仿宋_GB2312" w:eastAsia="仿宋_GB2312" w:cs="仿宋_GB2312"/>
          <w:b w:val="0"/>
          <w:bCs/>
          <w:kern w:val="2"/>
          <w:sz w:val="32"/>
          <w:szCs w:val="32"/>
          <w:lang w:val="en-US" w:eastAsia="zh-CN" w:bidi="ar-SA"/>
        </w:rPr>
        <w:t>布局和发展以人形机器人为代表的具身智能产业意识不足，相关人才储备、技术积累等相对薄弱。</w:t>
      </w:r>
    </w:p>
    <w:p w14:paraId="5BED82D0">
      <w:pPr>
        <w:keepNext w:val="0"/>
        <w:keepLines w:val="0"/>
        <w:pageBreakBefore w:val="0"/>
        <w:tabs>
          <w:tab w:val="left" w:pos="1512"/>
        </w:tabs>
        <w:kinsoku/>
        <w:wordWrap/>
        <w:overflowPunct/>
        <w:topLinePunct w:val="0"/>
        <w:autoSpaceDE/>
        <w:autoSpaceDN/>
        <w:bidi w:val="0"/>
        <w:adjustRightInd/>
        <w:snapToGrid/>
        <w:spacing w:line="560" w:lineRule="exact"/>
        <w:jc w:val="both"/>
        <w:textAlignment w:val="auto"/>
        <w:rPr>
          <w:rFonts w:hint="eastAsia" w:ascii="黑体" w:hAnsi="黑体" w:eastAsia="黑体" w:cs="黑体"/>
          <w:b/>
          <w:sz w:val="32"/>
          <w:szCs w:val="32"/>
          <w:lang w:val="en-US" w:eastAsia="zh-CN"/>
        </w:rPr>
      </w:pPr>
    </w:p>
    <w:p w14:paraId="277D903F">
      <w:pPr>
        <w:keepNext w:val="0"/>
        <w:keepLines w:val="0"/>
        <w:pageBreakBefore w:val="0"/>
        <w:tabs>
          <w:tab w:val="left" w:pos="1512"/>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sz w:val="32"/>
          <w:szCs w:val="32"/>
          <w:lang w:val="en-US" w:eastAsia="zh-CN"/>
        </w:rPr>
      </w:pPr>
      <w:bookmarkStart w:id="0" w:name="_GoBack"/>
      <w:bookmarkEnd w:id="0"/>
      <w:r>
        <w:rPr>
          <w:rFonts w:hint="eastAsia" w:ascii="黑体" w:hAnsi="黑体" w:eastAsia="黑体" w:cs="黑体"/>
          <w:b/>
          <w:sz w:val="32"/>
          <w:szCs w:val="32"/>
          <w:lang w:val="en-US" w:eastAsia="zh-CN"/>
        </w:rPr>
        <w:t>办法：</w:t>
      </w:r>
      <w:r>
        <w:rPr>
          <w:rFonts w:hint="eastAsia" w:ascii="仿宋_GB2312" w:hAnsi="仿宋_GB2312" w:eastAsia="仿宋_GB2312" w:cs="仿宋_GB2312"/>
          <w:b/>
          <w:sz w:val="32"/>
          <w:szCs w:val="32"/>
          <w:lang w:val="en-US" w:eastAsia="zh-CN"/>
        </w:rPr>
        <w:tab/>
      </w:r>
    </w:p>
    <w:p w14:paraId="26749836">
      <w:pPr>
        <w:pStyle w:val="8"/>
        <w:keepNext w:val="0"/>
        <w:keepLines w:val="0"/>
        <w:pageBreakBefore w:val="0"/>
        <w:widowControl/>
        <w:numPr>
          <w:ilvl w:val="0"/>
          <w:numId w:val="0"/>
        </w:numPr>
        <w:tabs>
          <w:tab w:val="left" w:pos="1015"/>
        </w:tabs>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人工智能产业是番禺区发展新质生产力和建设“智造创新城”的关键驱动力，为大力发展人工智能产业，赋能番禺区打造大湾区智造创新高地，提出如下建议：</w:t>
      </w:r>
    </w:p>
    <w:p w14:paraId="27E11584">
      <w:pPr>
        <w:pStyle w:val="8"/>
        <w:keepNext w:val="0"/>
        <w:keepLines w:val="0"/>
        <w:pageBreakBefore w:val="0"/>
        <w:widowControl/>
        <w:numPr>
          <w:ilvl w:val="0"/>
          <w:numId w:val="0"/>
        </w:numPr>
        <w:tabs>
          <w:tab w:val="left" w:pos="698"/>
        </w:tabs>
        <w:kinsoku/>
        <w:wordWrap/>
        <w:overflowPunct/>
        <w:topLinePunct w:val="0"/>
        <w:autoSpaceDE/>
        <w:autoSpaceDN/>
        <w:bidi w:val="0"/>
        <w:adjustRightInd/>
        <w:snapToGrid/>
        <w:spacing w:before="0" w:beforeAutospacing="0" w:after="0" w:afterAutospacing="0" w:line="560" w:lineRule="exact"/>
        <w:ind w:leftChars="200" w:firstLine="321" w:firstLineChars="100"/>
        <w:jc w:val="both"/>
        <w:textAlignment w:val="auto"/>
        <w:rPr>
          <w:rFonts w:hint="eastAsia" w:ascii="仿宋_GB2312" w:hAnsi="仿宋_GB2312" w:eastAsia="仿宋_GB2312" w:cs="仿宋_GB2312"/>
          <w:b/>
          <w:kern w:val="2"/>
          <w:sz w:val="32"/>
          <w:szCs w:val="32"/>
          <w:lang w:val="en-US" w:eastAsia="zh-CN"/>
        </w:rPr>
      </w:pPr>
      <w:r>
        <w:rPr>
          <w:rFonts w:hint="eastAsia" w:ascii="仿宋_GB2312" w:hAnsi="仿宋_GB2312" w:eastAsia="仿宋_GB2312" w:cs="仿宋_GB2312"/>
          <w:b/>
          <w:kern w:val="2"/>
          <w:sz w:val="32"/>
          <w:szCs w:val="32"/>
          <w:lang w:val="en-US" w:eastAsia="zh-CN"/>
        </w:rPr>
        <w:t>一、加强配套支持，加快智能网联新能源汽车制造与应用</w:t>
      </w:r>
    </w:p>
    <w:p w14:paraId="3C6022C2">
      <w:pPr>
        <w:pStyle w:val="8"/>
        <w:keepNext w:val="0"/>
        <w:keepLines w:val="0"/>
        <w:pageBreakBefore w:val="0"/>
        <w:widowControl/>
        <w:numPr>
          <w:ilvl w:val="0"/>
          <w:numId w:val="0"/>
        </w:numPr>
        <w:tabs>
          <w:tab w:val="left" w:pos="1015"/>
        </w:tabs>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建议番禺区政府制定专项补贴政策，扶持开展智能网联新能源汽车研发与制造的企业。加快充电桩、换电站的布局与建设，在商业中心、居民小区、高速公路服务区等地方合理规划充电桩的位置。建设智能网联汽车测试场地，为汽车的智能网联功能测试提供完善的环境。规划智能网联新能源汽车产业园区，吸引相关零部件供应商、研发机构、整车企业等入驻，构建完整的产业生态。</w:t>
      </w:r>
    </w:p>
    <w:p w14:paraId="5FB9B10D">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_GB2312" w:hAnsi="仿宋_GB2312" w:eastAsia="仿宋_GB2312" w:cs="仿宋_GB2312"/>
          <w:bCs/>
          <w:kern w:val="2"/>
          <w:sz w:val="32"/>
          <w:szCs w:val="32"/>
          <w:lang w:eastAsia="zh-CN"/>
        </w:rPr>
      </w:pPr>
      <w:r>
        <w:rPr>
          <w:rFonts w:hint="eastAsia" w:ascii="仿宋_GB2312" w:hAnsi="仿宋_GB2312" w:eastAsia="仿宋_GB2312" w:cs="仿宋_GB2312"/>
          <w:b/>
          <w:kern w:val="2"/>
          <w:sz w:val="32"/>
          <w:szCs w:val="32"/>
          <w:lang w:val="en-US" w:eastAsia="zh-CN"/>
        </w:rPr>
        <w:t>二、推进</w:t>
      </w:r>
      <w:r>
        <w:rPr>
          <w:rFonts w:hint="eastAsia" w:ascii="仿宋_GB2312" w:hAnsi="仿宋_GB2312" w:eastAsia="仿宋_GB2312" w:cs="仿宋_GB2312"/>
          <w:b/>
          <w:kern w:val="2"/>
          <w:sz w:val="32"/>
          <w:szCs w:val="32"/>
        </w:rPr>
        <w:t>全域社会场景开放</w:t>
      </w:r>
      <w:r>
        <w:rPr>
          <w:rFonts w:hint="eastAsia" w:ascii="仿宋_GB2312" w:hAnsi="仿宋_GB2312" w:eastAsia="仿宋_GB2312" w:cs="仿宋_GB2312"/>
          <w:b/>
          <w:kern w:val="2"/>
          <w:sz w:val="32"/>
          <w:szCs w:val="32"/>
          <w:lang w:val="en-US" w:eastAsia="zh-CN"/>
        </w:rPr>
        <w:t>与应用</w:t>
      </w:r>
      <w:r>
        <w:rPr>
          <w:rFonts w:hint="eastAsia" w:ascii="仿宋_GB2312" w:hAnsi="仿宋_GB2312" w:eastAsia="仿宋_GB2312" w:cs="仿宋_GB2312"/>
          <w:b/>
          <w:kern w:val="2"/>
          <w:sz w:val="32"/>
          <w:szCs w:val="32"/>
        </w:rPr>
        <w:t>，促进技术创新与落地</w:t>
      </w:r>
    </w:p>
    <w:p w14:paraId="5535DAB6">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b/>
          <w:kern w:val="2"/>
          <w:sz w:val="32"/>
          <w:szCs w:val="32"/>
          <w:lang w:val="en-US" w:eastAsia="zh-CN"/>
        </w:rPr>
      </w:pPr>
      <w:r>
        <w:rPr>
          <w:rFonts w:hint="eastAsia" w:ascii="仿宋_GB2312" w:hAnsi="仿宋_GB2312" w:eastAsia="仿宋_GB2312" w:cs="仿宋_GB2312"/>
          <w:bCs/>
          <w:kern w:val="2"/>
          <w:sz w:val="32"/>
          <w:szCs w:val="32"/>
        </w:rPr>
        <w:t>引入国际先进人工智能及元宇宙技术</w:t>
      </w:r>
      <w:r>
        <w:rPr>
          <w:rFonts w:hint="eastAsia" w:ascii="仿宋_GB2312" w:hAnsi="仿宋_GB2312" w:eastAsia="仿宋_GB2312" w:cs="仿宋_GB2312"/>
          <w:bCs/>
          <w:kern w:val="2"/>
          <w:sz w:val="32"/>
          <w:szCs w:val="32"/>
          <w:lang w:eastAsia="zh-CN"/>
        </w:rPr>
        <w:t>，</w:t>
      </w:r>
      <w:r>
        <w:rPr>
          <w:rFonts w:hint="eastAsia" w:ascii="仿宋_GB2312" w:hAnsi="仿宋_GB2312" w:eastAsia="仿宋_GB2312" w:cs="仿宋_GB2312"/>
          <w:bCs/>
          <w:kern w:val="2"/>
          <w:sz w:val="32"/>
          <w:szCs w:val="32"/>
        </w:rPr>
        <w:t>打造集数据场景开放、技术支撑平台搭建及跨部门制度创新实验于一体的全域社会开放场景实验室，加速构建统一规范的人工智能场景应用标准，打造可复制推广的应用场景典范案例</w:t>
      </w:r>
      <w:r>
        <w:rPr>
          <w:rFonts w:hint="eastAsia" w:ascii="仿宋_GB2312" w:hAnsi="仿宋_GB2312" w:eastAsia="仿宋_GB2312" w:cs="仿宋_GB2312"/>
          <w:bCs/>
          <w:kern w:val="2"/>
          <w:sz w:val="32"/>
          <w:szCs w:val="32"/>
          <w:lang w:eastAsia="zh-CN"/>
        </w:rPr>
        <w:t>，</w:t>
      </w:r>
      <w:r>
        <w:rPr>
          <w:rFonts w:hint="eastAsia" w:ascii="仿宋_GB2312" w:hAnsi="仿宋_GB2312" w:eastAsia="仿宋_GB2312" w:cs="仿宋_GB2312"/>
          <w:bCs/>
          <w:kern w:val="2"/>
          <w:sz w:val="32"/>
          <w:szCs w:val="32"/>
        </w:rPr>
        <w:t>以此为样板，推动城市场景与产业场景的开放共享，实现城市级应用规模化落地，助力本土“独角兽”企业培育孵化。</w:t>
      </w:r>
      <w:r>
        <w:rPr>
          <w:rFonts w:hint="eastAsia" w:ascii="仿宋_GB2312" w:hAnsi="仿宋_GB2312" w:eastAsia="仿宋_GB2312" w:cs="仿宋_GB2312"/>
          <w:bCs/>
          <w:kern w:val="2"/>
          <w:sz w:val="32"/>
          <w:szCs w:val="32"/>
          <w:lang w:val="en-US" w:eastAsia="zh-CN"/>
        </w:rPr>
        <w:t>聚焦教育、医疗、城市管理、金融服务、产业服务等核心领域，布局具有标杆效应的人工智能应用项目，</w:t>
      </w:r>
      <w:r>
        <w:rPr>
          <w:rFonts w:hint="eastAsia" w:ascii="仿宋_GB2312" w:hAnsi="仿宋_GB2312" w:eastAsia="仿宋_GB2312" w:cs="仿宋_GB2312"/>
          <w:bCs/>
          <w:kern w:val="2"/>
          <w:sz w:val="32"/>
          <w:szCs w:val="32"/>
        </w:rPr>
        <w:t>如智能教育平台、远程医疗诊断系统、智慧城市管理平台等，通过实际项目</w:t>
      </w:r>
      <w:r>
        <w:rPr>
          <w:rFonts w:hint="eastAsia" w:ascii="仿宋_GB2312" w:hAnsi="仿宋_GB2312" w:eastAsia="仿宋_GB2312" w:cs="仿宋_GB2312"/>
          <w:bCs/>
          <w:kern w:val="2"/>
          <w:sz w:val="32"/>
          <w:szCs w:val="32"/>
          <w:lang w:val="en-US" w:eastAsia="zh-CN"/>
        </w:rPr>
        <w:t>驱动技术的迭代优化与成熟普及。</w:t>
      </w:r>
      <w:r>
        <w:rPr>
          <w:rFonts w:hint="eastAsia" w:ascii="仿宋_GB2312" w:hAnsi="仿宋_GB2312" w:eastAsia="仿宋_GB2312" w:cs="仿宋_GB2312"/>
          <w:bCs/>
          <w:kern w:val="2"/>
          <w:sz w:val="32"/>
          <w:szCs w:val="32"/>
        </w:rPr>
        <w:t>基于数据、模型与技术能力，为金融、产业、政府场景提供定制化数智产品与解决方案，助力企业数据资产的评估与入表。深化</w:t>
      </w:r>
      <w:r>
        <w:rPr>
          <w:rFonts w:hint="eastAsia" w:ascii="仿宋_GB2312" w:hAnsi="仿宋_GB2312" w:eastAsia="仿宋_GB2312" w:cs="仿宋_GB2312"/>
          <w:bCs/>
          <w:kern w:val="2"/>
          <w:sz w:val="32"/>
          <w:szCs w:val="32"/>
          <w:lang w:val="en-US" w:eastAsia="zh-CN"/>
        </w:rPr>
        <w:t>番禺区与港澳</w:t>
      </w:r>
      <w:r>
        <w:rPr>
          <w:rFonts w:hint="eastAsia" w:ascii="仿宋_GB2312" w:hAnsi="仿宋_GB2312" w:eastAsia="仿宋_GB2312" w:cs="仿宋_GB2312"/>
          <w:bCs/>
          <w:kern w:val="2"/>
          <w:sz w:val="32"/>
          <w:szCs w:val="32"/>
        </w:rPr>
        <w:t>在AI+ESG领域技术研发、人才培育、成果转化、投资</w:t>
      </w:r>
      <w:r>
        <w:rPr>
          <w:rFonts w:hint="eastAsia" w:ascii="仿宋_GB2312" w:hAnsi="仿宋_GB2312" w:eastAsia="仿宋_GB2312" w:cs="仿宋_GB2312"/>
          <w:bCs/>
          <w:kern w:val="2"/>
          <w:sz w:val="32"/>
          <w:szCs w:val="32"/>
          <w:lang w:val="en-US" w:eastAsia="zh-CN"/>
        </w:rPr>
        <w:t>等方面的</w:t>
      </w:r>
      <w:r>
        <w:rPr>
          <w:rFonts w:hint="eastAsia" w:ascii="仿宋_GB2312" w:hAnsi="仿宋_GB2312" w:eastAsia="仿宋_GB2312" w:cs="仿宋_GB2312"/>
          <w:bCs/>
          <w:kern w:val="2"/>
          <w:sz w:val="32"/>
          <w:szCs w:val="32"/>
        </w:rPr>
        <w:t>合作，</w:t>
      </w:r>
      <w:r>
        <w:rPr>
          <w:rFonts w:hint="eastAsia" w:ascii="仿宋_GB2312" w:hAnsi="仿宋_GB2312" w:eastAsia="仿宋_GB2312" w:cs="仿宋_GB2312"/>
          <w:bCs/>
          <w:kern w:val="2"/>
          <w:sz w:val="32"/>
          <w:szCs w:val="32"/>
          <w:lang w:val="en-US" w:eastAsia="zh-CN"/>
        </w:rPr>
        <w:t>引进港澳</w:t>
      </w:r>
      <w:r>
        <w:rPr>
          <w:rFonts w:hint="eastAsia" w:ascii="仿宋_GB2312" w:hAnsi="仿宋_GB2312" w:eastAsia="仿宋_GB2312" w:cs="仿宋_GB2312"/>
          <w:bCs/>
          <w:kern w:val="2"/>
          <w:sz w:val="32"/>
          <w:szCs w:val="32"/>
        </w:rPr>
        <w:t>ESG自测评估系统、智能投资系统、能效管理系统</w:t>
      </w:r>
      <w:r>
        <w:rPr>
          <w:rFonts w:hint="eastAsia" w:ascii="仿宋_GB2312" w:hAnsi="仿宋_GB2312" w:eastAsia="仿宋_GB2312" w:cs="仿宋_GB2312"/>
          <w:bCs/>
          <w:kern w:val="2"/>
          <w:sz w:val="32"/>
          <w:szCs w:val="32"/>
          <w:lang w:val="en-US" w:eastAsia="zh-CN"/>
        </w:rPr>
        <w:t>等先进系统，</w:t>
      </w:r>
      <w:r>
        <w:rPr>
          <w:rFonts w:hint="eastAsia" w:ascii="仿宋_GB2312" w:hAnsi="仿宋_GB2312" w:eastAsia="仿宋_GB2312" w:cs="仿宋_GB2312"/>
          <w:bCs/>
          <w:kern w:val="2"/>
          <w:sz w:val="32"/>
          <w:szCs w:val="32"/>
        </w:rPr>
        <w:t>赋能</w:t>
      </w:r>
      <w:r>
        <w:rPr>
          <w:rFonts w:hint="eastAsia" w:ascii="仿宋_GB2312" w:hAnsi="仿宋_GB2312" w:eastAsia="仿宋_GB2312" w:cs="仿宋_GB2312"/>
          <w:bCs/>
          <w:kern w:val="2"/>
          <w:sz w:val="32"/>
          <w:szCs w:val="32"/>
          <w:lang w:val="en-US" w:eastAsia="zh-CN"/>
        </w:rPr>
        <w:t>番禺区</w:t>
      </w:r>
      <w:r>
        <w:rPr>
          <w:rFonts w:hint="eastAsia" w:ascii="仿宋_GB2312" w:hAnsi="仿宋_GB2312" w:eastAsia="仿宋_GB2312" w:cs="仿宋_GB2312"/>
          <w:bCs/>
          <w:kern w:val="2"/>
          <w:sz w:val="32"/>
          <w:szCs w:val="32"/>
        </w:rPr>
        <w:t>人工智能全域场景应用</w:t>
      </w:r>
      <w:r>
        <w:rPr>
          <w:rFonts w:hint="eastAsia" w:ascii="仿宋_GB2312" w:hAnsi="仿宋_GB2312" w:eastAsia="仿宋_GB2312" w:cs="仿宋_GB2312"/>
          <w:bCs/>
          <w:kern w:val="2"/>
          <w:sz w:val="32"/>
          <w:szCs w:val="32"/>
          <w:lang w:eastAsia="zh-CN"/>
        </w:rPr>
        <w:t>。</w:t>
      </w:r>
    </w:p>
    <w:p w14:paraId="222B2AAB">
      <w:pPr>
        <w:pStyle w:val="8"/>
        <w:keepNext w:val="0"/>
        <w:keepLines w:val="0"/>
        <w:pageBreakBefore w:val="0"/>
        <w:widowControl/>
        <w:numPr>
          <w:ilvl w:val="0"/>
          <w:numId w:val="0"/>
        </w:numPr>
        <w:tabs>
          <w:tab w:val="left" w:pos="698"/>
        </w:tabs>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_GB2312" w:hAnsi="仿宋_GB2312" w:eastAsia="仿宋_GB2312" w:cs="仿宋_GB2312"/>
          <w:b/>
          <w:kern w:val="2"/>
          <w:sz w:val="32"/>
          <w:szCs w:val="32"/>
          <w:lang w:val="en-US" w:eastAsia="zh-CN"/>
        </w:rPr>
      </w:pPr>
      <w:r>
        <w:rPr>
          <w:rFonts w:hint="eastAsia" w:ascii="仿宋_GB2312" w:hAnsi="仿宋_GB2312" w:eastAsia="仿宋_GB2312" w:cs="仿宋_GB2312"/>
          <w:b/>
          <w:kern w:val="2"/>
          <w:sz w:val="32"/>
          <w:szCs w:val="32"/>
          <w:lang w:val="en-US" w:eastAsia="zh-CN"/>
        </w:rPr>
        <w:t>三、健全</w:t>
      </w:r>
      <w:r>
        <w:rPr>
          <w:rFonts w:hint="eastAsia" w:ascii="仿宋_GB2312" w:hAnsi="仿宋_GB2312" w:eastAsia="仿宋_GB2312" w:cs="仿宋_GB2312"/>
          <w:b/>
          <w:kern w:val="2"/>
          <w:sz w:val="32"/>
          <w:szCs w:val="32"/>
        </w:rPr>
        <w:t>大模型应用生态</w:t>
      </w:r>
      <w:r>
        <w:rPr>
          <w:rFonts w:hint="eastAsia" w:ascii="仿宋_GB2312" w:hAnsi="仿宋_GB2312" w:eastAsia="仿宋_GB2312" w:cs="仿宋_GB2312"/>
          <w:b/>
          <w:kern w:val="2"/>
          <w:sz w:val="32"/>
          <w:szCs w:val="32"/>
          <w:lang w:val="en-US" w:eastAsia="zh-CN"/>
        </w:rPr>
        <w:t>体系</w:t>
      </w:r>
      <w:r>
        <w:rPr>
          <w:rFonts w:hint="eastAsia" w:ascii="仿宋_GB2312" w:hAnsi="仿宋_GB2312" w:eastAsia="仿宋_GB2312" w:cs="仿宋_GB2312"/>
          <w:b/>
          <w:kern w:val="2"/>
          <w:sz w:val="32"/>
          <w:szCs w:val="32"/>
        </w:rPr>
        <w:t>，</w:t>
      </w:r>
      <w:r>
        <w:rPr>
          <w:rFonts w:hint="eastAsia" w:ascii="仿宋_GB2312" w:hAnsi="仿宋_GB2312" w:eastAsia="仿宋_GB2312" w:cs="仿宋_GB2312"/>
          <w:b/>
          <w:kern w:val="2"/>
          <w:sz w:val="32"/>
          <w:szCs w:val="32"/>
          <w:lang w:val="en-US" w:eastAsia="zh-CN"/>
        </w:rPr>
        <w:t>助推</w:t>
      </w:r>
      <w:r>
        <w:rPr>
          <w:rFonts w:hint="eastAsia" w:ascii="仿宋_GB2312" w:hAnsi="仿宋_GB2312" w:eastAsia="仿宋_GB2312" w:cs="仿宋_GB2312"/>
          <w:b/>
          <w:kern w:val="2"/>
          <w:sz w:val="32"/>
          <w:szCs w:val="32"/>
        </w:rPr>
        <w:t>产业集聚与协同</w:t>
      </w:r>
      <w:r>
        <w:rPr>
          <w:rFonts w:hint="eastAsia" w:ascii="仿宋_GB2312" w:hAnsi="仿宋_GB2312" w:eastAsia="仿宋_GB2312" w:cs="仿宋_GB2312"/>
          <w:b/>
          <w:kern w:val="2"/>
          <w:sz w:val="32"/>
          <w:szCs w:val="32"/>
          <w:lang w:val="en-US" w:eastAsia="zh-CN"/>
        </w:rPr>
        <w:t>发展</w:t>
      </w:r>
    </w:p>
    <w:p w14:paraId="4C35996F">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在</w:t>
      </w:r>
      <w:r>
        <w:rPr>
          <w:rFonts w:hint="eastAsia" w:ascii="仿宋_GB2312" w:hAnsi="仿宋_GB2312" w:eastAsia="仿宋_GB2312" w:cs="仿宋_GB2312"/>
          <w:bCs/>
          <w:kern w:val="2"/>
          <w:sz w:val="32"/>
          <w:szCs w:val="32"/>
          <w:lang w:val="en-US" w:eastAsia="zh-CN"/>
        </w:rPr>
        <w:t>区内</w:t>
      </w:r>
      <w:r>
        <w:rPr>
          <w:rFonts w:hint="eastAsia" w:ascii="仿宋_GB2312" w:hAnsi="仿宋_GB2312" w:eastAsia="仿宋_GB2312" w:cs="仿宋_GB2312"/>
          <w:bCs/>
          <w:kern w:val="2"/>
          <w:sz w:val="32"/>
          <w:szCs w:val="32"/>
        </w:rPr>
        <w:t>划定特定区域建设以大模型应用为核心的 AI+应用加速器，集成开放数据、测试评估、算力调度、融资服务、综合服务等公共服务平台，为大模型初创企业提供全要素资源保障。</w:t>
      </w:r>
      <w:r>
        <w:rPr>
          <w:rFonts w:hint="eastAsia" w:ascii="仿宋_GB2312" w:hAnsi="仿宋_GB2312" w:eastAsia="仿宋_GB2312" w:cs="仿宋_GB2312"/>
          <w:bCs/>
          <w:kern w:val="2"/>
          <w:sz w:val="32"/>
          <w:szCs w:val="32"/>
          <w:lang w:val="en-US" w:eastAsia="zh-CN"/>
        </w:rPr>
        <w:t>以此为基数</w:t>
      </w:r>
      <w:r>
        <w:rPr>
          <w:rFonts w:hint="eastAsia" w:ascii="仿宋_GB2312" w:hAnsi="仿宋_GB2312" w:eastAsia="仿宋_GB2312" w:cs="仿宋_GB2312"/>
          <w:bCs/>
          <w:kern w:val="2"/>
          <w:sz w:val="32"/>
          <w:szCs w:val="32"/>
        </w:rPr>
        <w:t>，规划打造集研发、测试、展示、孵化等多功能于一体的人工智能产业园区，吸引上下游企业集聚，形成完整产业生态闭环。引入或组建专业 AI 产业运营机构，承担园区整体运营、项目评审、资源调配等职能，保障园区高效运转。</w:t>
      </w:r>
    </w:p>
    <w:p w14:paraId="205A8A88">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_GB2312" w:hAnsi="仿宋_GB2312" w:eastAsia="仿宋_GB2312" w:cs="仿宋_GB2312"/>
          <w:b/>
          <w:kern w:val="2"/>
          <w:sz w:val="32"/>
          <w:szCs w:val="32"/>
          <w:lang w:val="en-US" w:eastAsia="zh-CN"/>
        </w:rPr>
      </w:pPr>
      <w:r>
        <w:rPr>
          <w:rFonts w:hint="eastAsia" w:ascii="仿宋_GB2312" w:hAnsi="仿宋_GB2312" w:eastAsia="仿宋_GB2312" w:cs="仿宋_GB2312"/>
          <w:b/>
          <w:kern w:val="2"/>
          <w:sz w:val="32"/>
          <w:szCs w:val="32"/>
          <w:lang w:val="en-US" w:eastAsia="zh-CN"/>
        </w:rPr>
        <w:t>四、</w:t>
      </w:r>
      <w:r>
        <w:rPr>
          <w:rFonts w:hint="eastAsia" w:ascii="仿宋_GB2312" w:hAnsi="仿宋_GB2312" w:eastAsia="仿宋_GB2312" w:cs="仿宋_GB2312"/>
          <w:b/>
          <w:kern w:val="2"/>
          <w:sz w:val="32"/>
          <w:szCs w:val="32"/>
        </w:rPr>
        <w:t>前瞻布局具身智能，抢占人工智能应用</w:t>
      </w:r>
      <w:r>
        <w:rPr>
          <w:rFonts w:hint="eastAsia" w:ascii="仿宋_GB2312" w:hAnsi="仿宋_GB2312" w:eastAsia="仿宋_GB2312" w:cs="仿宋_GB2312"/>
          <w:b/>
          <w:kern w:val="2"/>
          <w:sz w:val="32"/>
          <w:szCs w:val="32"/>
          <w:lang w:val="en-US" w:eastAsia="zh-CN"/>
        </w:rPr>
        <w:t>高地</w:t>
      </w:r>
    </w:p>
    <w:p w14:paraId="3E45F3FF">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kern w:val="2"/>
          <w:sz w:val="32"/>
          <w:szCs w:val="32"/>
        </w:rPr>
        <w:t>具身智能是人工智能发展的一种终极形态</w:t>
      </w:r>
      <w:r>
        <w:rPr>
          <w:rFonts w:hint="eastAsia" w:ascii="仿宋_GB2312" w:hAnsi="仿宋_GB2312" w:eastAsia="仿宋_GB2312" w:cs="仿宋_GB2312"/>
          <w:bCs/>
          <w:kern w:val="2"/>
          <w:sz w:val="32"/>
          <w:szCs w:val="32"/>
          <w:lang w:eastAsia="zh-CN"/>
        </w:rPr>
        <w:t>，</w:t>
      </w:r>
      <w:r>
        <w:rPr>
          <w:rFonts w:hint="eastAsia" w:ascii="仿宋_GB2312" w:hAnsi="仿宋_GB2312" w:eastAsia="仿宋_GB2312" w:cs="仿宋_GB2312"/>
          <w:bCs/>
          <w:kern w:val="2"/>
          <w:sz w:val="32"/>
          <w:szCs w:val="32"/>
          <w:lang w:val="en-US" w:eastAsia="zh-CN"/>
        </w:rPr>
        <w:t>可</w:t>
      </w:r>
      <w:r>
        <w:rPr>
          <w:rFonts w:hint="eastAsia" w:ascii="仿宋_GB2312" w:hAnsi="仿宋_GB2312" w:eastAsia="仿宋_GB2312" w:cs="仿宋_GB2312"/>
          <w:bCs/>
          <w:kern w:val="2"/>
          <w:sz w:val="32"/>
          <w:szCs w:val="32"/>
        </w:rPr>
        <w:t>在真实或虚拟的环境中与人类和其他智能体进行交互和协作，在各个领域都有广泛的应用场景，如家庭机器人、教育机器人、医疗机器人、服务机器人等。建议搭建</w:t>
      </w:r>
      <w:r>
        <w:rPr>
          <w:rFonts w:hint="eastAsia" w:ascii="仿宋_GB2312" w:hAnsi="仿宋_GB2312" w:eastAsia="仿宋_GB2312" w:cs="仿宋_GB2312"/>
          <w:bCs/>
          <w:kern w:val="2"/>
          <w:sz w:val="32"/>
          <w:szCs w:val="32"/>
          <w:lang w:val="en-US" w:eastAsia="zh-CN"/>
        </w:rPr>
        <w:t>人工智能</w:t>
      </w:r>
      <w:r>
        <w:rPr>
          <w:rFonts w:hint="eastAsia" w:ascii="仿宋_GB2312" w:hAnsi="仿宋_GB2312" w:eastAsia="仿宋_GB2312" w:cs="仿宋_GB2312"/>
          <w:bCs/>
          <w:kern w:val="2"/>
          <w:sz w:val="32"/>
          <w:szCs w:val="32"/>
        </w:rPr>
        <w:t>中试与测试平台，主导行业应用标准制定，联合行业优势力量构建人形机器人生态链，整合技术攻关、社会资源与人才队伍，</w:t>
      </w:r>
      <w:r>
        <w:rPr>
          <w:rFonts w:hint="eastAsia" w:ascii="仿宋_GB2312" w:hAnsi="仿宋_GB2312" w:eastAsia="仿宋_GB2312" w:cs="仿宋_GB2312"/>
          <w:bCs/>
          <w:kern w:val="2"/>
          <w:sz w:val="32"/>
          <w:szCs w:val="32"/>
          <w:lang w:val="en-US" w:eastAsia="zh-CN"/>
        </w:rPr>
        <w:t>构筑</w:t>
      </w:r>
      <w:r>
        <w:rPr>
          <w:rFonts w:hint="eastAsia" w:ascii="仿宋_GB2312" w:hAnsi="仿宋_GB2312" w:eastAsia="仿宋_GB2312" w:cs="仿宋_GB2312"/>
          <w:bCs/>
          <w:kern w:val="2"/>
          <w:sz w:val="32"/>
          <w:szCs w:val="32"/>
        </w:rPr>
        <w:t>新一轮人工智能</w:t>
      </w:r>
      <w:r>
        <w:rPr>
          <w:rFonts w:hint="eastAsia" w:ascii="仿宋_GB2312" w:hAnsi="仿宋_GB2312" w:eastAsia="仿宋_GB2312" w:cs="仿宋_GB2312"/>
          <w:bCs/>
          <w:kern w:val="2"/>
          <w:sz w:val="32"/>
          <w:szCs w:val="32"/>
          <w:lang w:val="en-US" w:eastAsia="zh-CN"/>
        </w:rPr>
        <w:t>竞争新优势。</w:t>
      </w: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8415B">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F6FB42">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1F6FB42">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6705C8"/>
    <w:rsid w:val="0B832C7E"/>
    <w:rsid w:val="0D142E1F"/>
    <w:rsid w:val="10ED397D"/>
    <w:rsid w:val="115A19CF"/>
    <w:rsid w:val="126705C8"/>
    <w:rsid w:val="2FE0774B"/>
    <w:rsid w:val="3E3A6429"/>
    <w:rsid w:val="3FB21F0F"/>
    <w:rsid w:val="44D71FCE"/>
    <w:rsid w:val="49714A26"/>
    <w:rsid w:val="4D8D4364"/>
    <w:rsid w:val="4DF639DC"/>
    <w:rsid w:val="58C4015D"/>
    <w:rsid w:val="5C2C458F"/>
    <w:rsid w:val="654C5A99"/>
    <w:rsid w:val="68EE20EF"/>
    <w:rsid w:val="6A6D6CE8"/>
    <w:rsid w:val="6CE11E56"/>
    <w:rsid w:val="7001591F"/>
    <w:rsid w:val="746A5F38"/>
    <w:rsid w:val="75DC7CED"/>
    <w:rsid w:val="779360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qFormat="1" w:unhideWhenUsed="0" w:uiPriority="0"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nhideWhenUsed="0" w:uiPriority="0"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qFormat="1" w:unhideWhenUsed="0" w:uiPriority="0"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rPr>
      <w:rFonts w:ascii="Calibri" w:hAnsi="Calibri" w:eastAsia="仿宋_GB2312"/>
      <w:sz w:val="32"/>
      <w:szCs w:val="20"/>
    </w:rPr>
  </w:style>
  <w:style w:type="paragraph" w:styleId="4">
    <w:name w:val="toc 5"/>
    <w:basedOn w:val="1"/>
    <w:next w:val="1"/>
    <w:qFormat/>
    <w:uiPriority w:val="0"/>
    <w:pPr>
      <w:ind w:left="1680"/>
    </w:pPr>
  </w:style>
  <w:style w:type="paragraph" w:styleId="5">
    <w:name w:val="Plain Text"/>
    <w:basedOn w:val="1"/>
    <w:qFormat/>
    <w:uiPriority w:val="0"/>
    <w:rPr>
      <w:rFonts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jc w:val="left"/>
    </w:pPr>
    <w:rPr>
      <w:rFonts w:cs="Times New Roman"/>
      <w:kern w:val="0"/>
      <w:sz w:val="24"/>
    </w:rPr>
  </w:style>
  <w:style w:type="paragraph" w:styleId="9">
    <w:name w:val="Body Text First Indent"/>
    <w:basedOn w:val="3"/>
    <w:qFormat/>
    <w:uiPriority w:val="0"/>
    <w:pPr>
      <w:ind w:firstLine="420" w:firstLineChars="100"/>
    </w:pPr>
    <w:rPr>
      <w:rFonts w:ascii="Calibri" w:hAnsi="Calibri"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区政协</Company>
  <Pages>4</Pages>
  <Words>1650</Words>
  <Characters>1703</Characters>
  <Lines>0</Lines>
  <Paragraphs>0</Paragraphs>
  <TotalTime>0</TotalTime>
  <ScaleCrop>false</ScaleCrop>
  <LinksUpToDate>false</LinksUpToDate>
  <CharactersWithSpaces>1731</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2023-12-12T01:52:00Z</dcterms:created>
  <dc:creator>Administrator</dc:creator>
  <cp:lastModifiedBy>user</cp:lastModifiedBy>
  <cp:lastPrinted>2025-04-07T02:28:00Z</cp:lastPrinted>
  <dcterms:modified xsi:type="dcterms:W3CDTF">2026-01-06T01:57:41Z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E5BA898DF75C45E78E0E2C0A2301E63A_13</vt:lpwstr>
  </property>
</Properties>
</file>