
<file path=[Content_Types].xml><?xml version="1.0" encoding="utf-8"?>
<Types xmlns="http://schemas.openxmlformats.org/package/2006/content-types">
  <Default Extension="xml" ContentType="application/xml"/>
  <Default Extension="gif" ContentType="image/gi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CB13D00">
      <w:pPr>
        <w:jc w:val="right"/>
        <w:rPr>
          <w:rFonts w:hint="eastAsia" w:ascii="仿宋_GB2312" w:hAnsi="仿宋_GB2312" w:eastAsia="仿宋_GB2312" w:cs="仿宋_GB2312"/>
          <w:sz w:val="32"/>
          <w:szCs w:val="32"/>
        </w:rPr>
      </w:pPr>
      <w:bookmarkStart w:id="0" w:name="_Hlk36497313"/>
      <w:bookmarkEnd w:id="0"/>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22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6EB0EC18">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次会议提案</w:t>
      </w:r>
    </w:p>
    <w:tbl>
      <w:tblPr>
        <w:tblStyle w:val="9"/>
        <w:tblW w:w="9195"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2977"/>
        <w:gridCol w:w="1276"/>
        <w:gridCol w:w="2913"/>
      </w:tblGrid>
      <w:tr w14:paraId="4088D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029" w:type="dxa"/>
            <w:tcBorders>
              <w:top w:val="single" w:color="auto" w:sz="4" w:space="0"/>
              <w:left w:val="single" w:color="auto" w:sz="4" w:space="0"/>
              <w:bottom w:val="single" w:color="auto" w:sz="4" w:space="0"/>
              <w:right w:val="single" w:color="auto" w:sz="4" w:space="0"/>
            </w:tcBorders>
            <w:noWrap w:val="0"/>
            <w:vAlign w:val="center"/>
          </w:tcPr>
          <w:p w14:paraId="4D94E092">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53CCE9DB">
            <w:pPr>
              <w:pStyle w:val="5"/>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r>
              <w:rPr>
                <w:rFonts w:hint="eastAsia" w:ascii="仿宋_GB2312" w:hAnsi="宋体" w:eastAsia="仿宋_GB2312" w:cs="Times New Roman"/>
                <w:b w:val="0"/>
                <w:kern w:val="2"/>
                <w:sz w:val="32"/>
                <w:szCs w:val="32"/>
                <w:lang w:val="en-US" w:eastAsia="zh-CN" w:bidi="ar-SA"/>
              </w:rPr>
              <w:t>恢复双向通行，助力盘活大北路商圈</w:t>
            </w:r>
          </w:p>
        </w:tc>
      </w:tr>
      <w:tr w14:paraId="6C22A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2029" w:type="dxa"/>
            <w:tcBorders>
              <w:top w:val="single" w:color="auto" w:sz="4" w:space="0"/>
              <w:left w:val="single" w:color="auto" w:sz="4" w:space="0"/>
              <w:right w:val="single" w:color="auto" w:sz="4" w:space="0"/>
            </w:tcBorders>
            <w:noWrap w:val="0"/>
            <w:vAlign w:val="center"/>
          </w:tcPr>
          <w:p w14:paraId="26707A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rPr>
            </w:pPr>
            <w:r>
              <w:rPr>
                <w:rFonts w:hint="eastAsia" w:ascii="仿宋_GB2312" w:hAnsi="宋体" w:eastAsia="仿宋_GB2312"/>
                <w:sz w:val="32"/>
                <w:szCs w:val="32"/>
              </w:rPr>
              <w:t>提</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案</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者</w:t>
            </w:r>
          </w:p>
          <w:p w14:paraId="3F769AF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仿宋_GB2312"/>
                <w:lang w:eastAsia="zh-CN"/>
              </w:rPr>
            </w:pPr>
            <w:r>
              <w:rPr>
                <w:rFonts w:hint="eastAsia" w:ascii="仿宋_GB2312" w:hAnsi="宋体" w:eastAsia="仿宋_GB2312"/>
                <w:sz w:val="28"/>
                <w:szCs w:val="28"/>
                <w:lang w:val="en-US" w:eastAsia="zh-CN"/>
              </w:rPr>
              <w:t>（括号内注明主笔人）</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86358D6">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lang w:eastAsia="zh-CN"/>
              </w:rPr>
            </w:pPr>
            <w:r>
              <w:rPr>
                <w:rFonts w:hint="eastAsia" w:ascii="仿宋_GB2312" w:hAnsi="宋体" w:eastAsia="仿宋_GB2312"/>
                <w:sz w:val="32"/>
                <w:szCs w:val="32"/>
                <w:lang w:eastAsia="zh-CN"/>
              </w:rPr>
              <w:t>工青妇组</w:t>
            </w:r>
          </w:p>
          <w:p w14:paraId="3FFCFD0F">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lang w:eastAsia="zh-CN"/>
              </w:rPr>
            </w:pPr>
            <w:r>
              <w:rPr>
                <w:rFonts w:hint="eastAsia" w:ascii="仿宋_GB2312" w:hAnsi="宋体" w:eastAsia="仿宋_GB2312"/>
                <w:sz w:val="32"/>
                <w:szCs w:val="32"/>
                <w:lang w:eastAsia="zh-CN"/>
              </w:rPr>
              <w:t>（冯银彩）</w:t>
            </w:r>
          </w:p>
        </w:tc>
        <w:tc>
          <w:tcPr>
            <w:tcW w:w="1276" w:type="dxa"/>
            <w:tcBorders>
              <w:top w:val="single" w:color="auto" w:sz="4" w:space="0"/>
              <w:left w:val="single" w:color="auto" w:sz="4" w:space="0"/>
              <w:right w:val="single" w:color="auto" w:sz="4" w:space="0"/>
            </w:tcBorders>
            <w:noWrap w:val="0"/>
            <w:vAlign w:val="center"/>
          </w:tcPr>
          <w:p w14:paraId="2EC8CF8C">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联系人</w:t>
            </w:r>
          </w:p>
        </w:tc>
        <w:tc>
          <w:tcPr>
            <w:tcW w:w="2913" w:type="dxa"/>
            <w:tcBorders>
              <w:top w:val="single" w:color="auto" w:sz="4" w:space="0"/>
              <w:left w:val="single" w:color="auto" w:sz="4" w:space="0"/>
              <w:right w:val="single" w:color="auto" w:sz="4" w:space="0"/>
            </w:tcBorders>
            <w:noWrap w:val="0"/>
            <w:vAlign w:val="center"/>
          </w:tcPr>
          <w:p w14:paraId="02A0CD09">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lang w:eastAsia="zh-CN"/>
              </w:rPr>
            </w:pPr>
            <w:r>
              <w:rPr>
                <w:rFonts w:hint="eastAsia" w:ascii="仿宋_GB2312" w:hAnsi="宋体" w:eastAsia="仿宋_GB2312"/>
                <w:sz w:val="32"/>
                <w:szCs w:val="32"/>
                <w:lang w:eastAsia="zh-CN"/>
              </w:rPr>
              <w:t>冯银彩</w:t>
            </w:r>
          </w:p>
        </w:tc>
      </w:tr>
      <w:tr w14:paraId="04D27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2D14DAF6">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工作单位</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59FE847">
            <w:pPr>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r>
              <w:rPr>
                <w:rFonts w:hint="default" w:ascii="仿宋_GB2312" w:hAnsi="宋体" w:eastAsia="仿宋_GB2312"/>
                <w:sz w:val="32"/>
                <w:szCs w:val="32"/>
                <w:lang w:val="en-US" w:eastAsia="zh-CN"/>
              </w:rPr>
              <w:t>区慢性病防治站</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156669C">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913" w:type="dxa"/>
            <w:tcBorders>
              <w:top w:val="single" w:color="auto" w:sz="4" w:space="0"/>
              <w:left w:val="single" w:color="auto" w:sz="4" w:space="0"/>
              <w:bottom w:val="single" w:color="auto" w:sz="4" w:space="0"/>
              <w:right w:val="single" w:color="auto" w:sz="4" w:space="0"/>
            </w:tcBorders>
            <w:noWrap w:val="0"/>
            <w:vAlign w:val="center"/>
          </w:tcPr>
          <w:p w14:paraId="4271CD85">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lang w:eastAsia="zh-CN"/>
              </w:rPr>
            </w:pPr>
            <w:r>
              <w:rPr>
                <w:rFonts w:hint="default" w:ascii="仿宋_GB2312" w:hAnsi="宋体" w:eastAsia="仿宋_GB2312"/>
                <w:sz w:val="32"/>
                <w:szCs w:val="32"/>
                <w:lang w:val="en-US" w:eastAsia="zh-CN"/>
              </w:rPr>
              <w:t>副站长</w:t>
            </w:r>
          </w:p>
        </w:tc>
      </w:tr>
      <w:tr w14:paraId="70F8D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49B7C7DD">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手机号码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A753A39">
            <w:pPr>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C80F5AA">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pacing w:val="-28"/>
                <w:sz w:val="32"/>
                <w:szCs w:val="32"/>
              </w:rPr>
              <w:t>办公电话</w:t>
            </w:r>
          </w:p>
        </w:tc>
        <w:tc>
          <w:tcPr>
            <w:tcW w:w="2913" w:type="dxa"/>
            <w:tcBorders>
              <w:top w:val="single" w:color="auto" w:sz="4" w:space="0"/>
              <w:left w:val="single" w:color="auto" w:sz="4" w:space="0"/>
              <w:bottom w:val="single" w:color="auto" w:sz="4" w:space="0"/>
              <w:right w:val="single" w:color="auto" w:sz="4" w:space="0"/>
            </w:tcBorders>
            <w:noWrap w:val="0"/>
            <w:vAlign w:val="center"/>
          </w:tcPr>
          <w:p w14:paraId="3B724677">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p>
        </w:tc>
      </w:tr>
      <w:tr w14:paraId="3A11E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5CFE3080">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通讯地址</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0B38FE0A">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p>
        </w:tc>
      </w:tr>
      <w:tr w14:paraId="2156F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trPr>
        <w:tc>
          <w:tcPr>
            <w:tcW w:w="2029" w:type="dxa"/>
            <w:tcBorders>
              <w:top w:val="single" w:color="auto" w:sz="4" w:space="0"/>
              <w:left w:val="single" w:color="auto" w:sz="4" w:space="0"/>
              <w:bottom w:val="single" w:color="auto" w:sz="4" w:space="0"/>
              <w:right w:val="single" w:color="auto" w:sz="4" w:space="0"/>
            </w:tcBorders>
            <w:noWrap w:val="0"/>
            <w:vAlign w:val="center"/>
          </w:tcPr>
          <w:p w14:paraId="46FAA399">
            <w:pPr>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z w:val="32"/>
                <w:szCs w:val="32"/>
              </w:rPr>
              <w:t>联名提案人</w:t>
            </w:r>
          </w:p>
        </w:tc>
        <w:tc>
          <w:tcPr>
            <w:tcW w:w="7166" w:type="dxa"/>
            <w:gridSpan w:val="3"/>
            <w:tcBorders>
              <w:top w:val="single" w:color="auto" w:sz="4" w:space="0"/>
              <w:left w:val="single" w:color="auto" w:sz="4" w:space="0"/>
              <w:bottom w:val="single" w:color="auto" w:sz="4" w:space="0"/>
              <w:right w:val="single" w:color="auto" w:sz="4" w:space="0"/>
            </w:tcBorders>
            <w:noWrap w:val="0"/>
            <w:vAlign w:val="top"/>
          </w:tcPr>
          <w:p w14:paraId="44F7E655">
            <w:pPr>
              <w:pageBreakBefore w:val="0"/>
              <w:widowControl w:val="0"/>
              <w:kinsoku/>
              <w:wordWrap/>
              <w:overflowPunct/>
              <w:topLinePunct w:val="0"/>
              <w:autoSpaceDE/>
              <w:autoSpaceDN/>
              <w:bidi w:val="0"/>
              <w:adjustRightInd/>
              <w:snapToGrid/>
              <w:spacing w:line="560" w:lineRule="exact"/>
              <w:jc w:val="both"/>
              <w:textAlignment w:val="auto"/>
              <w:rPr>
                <w:rFonts w:ascii="仿宋_GB2312" w:hAnsi="宋体" w:eastAsia="仿宋_GB2312"/>
                <w:sz w:val="32"/>
                <w:szCs w:val="32"/>
              </w:rPr>
            </w:pPr>
            <w:r>
              <w:rPr>
                <w:rFonts w:hint="eastAsia" w:ascii="仿宋_GB2312" w:hAnsi="宋体" w:eastAsia="仿宋_GB2312"/>
                <w:spacing w:val="-14"/>
                <w:sz w:val="32"/>
                <w:szCs w:val="32"/>
              </w:rPr>
              <w:t>（</w:t>
            </w:r>
            <w:r>
              <w:rPr>
                <w:rFonts w:hint="default" w:ascii="仿宋_GB2312" w:hAnsi="仿宋_GB2312" w:eastAsia="仿宋_GB2312" w:cs="仿宋_GB2312"/>
                <w:kern w:val="2"/>
                <w:sz w:val="28"/>
                <w:szCs w:val="28"/>
                <w:lang w:val="en-US" w:eastAsia="zh-CN" w:bidi="ar-SA"/>
              </w:rPr>
              <w:t>一经提交不得再增加联名提案人</w:t>
            </w:r>
            <w:r>
              <w:rPr>
                <w:rFonts w:hint="eastAsia" w:ascii="仿宋_GB2312" w:hAnsi="宋体" w:eastAsia="仿宋_GB2312"/>
                <w:spacing w:val="-14"/>
                <w:sz w:val="32"/>
                <w:szCs w:val="32"/>
              </w:rPr>
              <w:t>）</w:t>
            </w:r>
          </w:p>
        </w:tc>
      </w:tr>
      <w:tr w14:paraId="2555E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74A97BD4">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14:paraId="73F5F02C">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72787EBB">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同意立案</w:t>
            </w:r>
          </w:p>
        </w:tc>
      </w:tr>
    </w:tbl>
    <w:p w14:paraId="0FFF14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14:paraId="362954A8">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4BEA82F7">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sz w:val="30"/>
          <w:szCs w:val="30"/>
        </w:rPr>
      </w:pPr>
      <w:r>
        <w:rPr>
          <w:rFonts w:hint="eastAsia" w:ascii="宋体" w:hAnsi="宋体"/>
          <w:sz w:val="30"/>
          <w:szCs w:val="30"/>
          <w:lang w:eastAsia="zh-CN"/>
        </w:rPr>
        <w:t>是（</w:t>
      </w:r>
      <w:r>
        <w:rPr>
          <w:rFonts w:hint="eastAsia" w:ascii="宋体" w:hAnsi="宋体" w:eastAsia="宋体" w:cs="宋体"/>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14:paraId="71BA7FD8">
      <w:pPr>
        <w:rPr>
          <w:rFonts w:ascii="宋体" w:hAnsi="宋体"/>
          <w:sz w:val="30"/>
          <w:szCs w:val="30"/>
        </w:rPr>
      </w:pPr>
      <w:r>
        <w:rPr>
          <w:rFonts w:ascii="宋体" w:hAnsi="宋体"/>
          <w:sz w:val="30"/>
          <w:szCs w:val="30"/>
        </w:rPr>
        <w:br w:type="page"/>
      </w:r>
    </w:p>
    <w:p w14:paraId="4C9438F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b/>
          <w:bCs w:val="0"/>
          <w:sz w:val="32"/>
          <w:szCs w:val="32"/>
        </w:rPr>
      </w:pPr>
    </w:p>
    <w:p w14:paraId="353DFF3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b/>
          <w:bCs w:val="0"/>
          <w:sz w:val="32"/>
          <w:szCs w:val="32"/>
        </w:rPr>
      </w:pPr>
      <w:r>
        <w:rPr>
          <w:rFonts w:hint="eastAsia" w:ascii="黑体" w:hAnsi="黑体" w:eastAsia="黑体"/>
          <w:b/>
          <w:bCs w:val="0"/>
          <w:sz w:val="32"/>
          <w:szCs w:val="32"/>
        </w:rPr>
        <w:t>理由：</w:t>
      </w:r>
    </w:p>
    <w:p w14:paraId="665F5D65">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小标宋简体" w:eastAsia="方正小标宋简体"/>
          <w:sz w:val="44"/>
          <w:szCs w:val="44"/>
        </w:rPr>
      </w:pPr>
      <w:r>
        <w:rPr>
          <w:rFonts w:hint="eastAsia" w:ascii="仿宋_GB2312" w:eastAsia="仿宋_GB2312"/>
          <w:b w:val="0"/>
          <w:bCs w:val="0"/>
          <w:sz w:val="32"/>
          <w:szCs w:val="32"/>
          <w:lang w:val="en-US" w:eastAsia="zh-CN"/>
        </w:rPr>
        <w:t xml:space="preserve">    </w:t>
      </w:r>
      <w:r>
        <w:rPr>
          <w:rFonts w:hint="eastAsia" w:ascii="仿宋_GB2312" w:eastAsia="仿宋_GB2312"/>
          <w:b w:val="0"/>
          <w:bCs w:val="0"/>
          <w:sz w:val="32"/>
          <w:szCs w:val="32"/>
        </w:rPr>
        <w:t>大北路，一个集吃喝玩乐于一体的黄金商圈，是番禺一代又一代人的美好回忆。</w:t>
      </w:r>
      <w:r>
        <w:rPr>
          <w:rFonts w:hint="eastAsia" w:ascii="仿宋_GB2312" w:eastAsia="仿宋_GB2312"/>
          <w:sz w:val="32"/>
          <w:szCs w:val="32"/>
        </w:rPr>
        <w:t>当前，多少街坊在叹惜大北路的过往、现在……</w:t>
      </w:r>
    </w:p>
    <w:p w14:paraId="7711EB92">
      <w:pPr>
        <w:jc w:val="center"/>
        <w:rPr>
          <w:rFonts w:hint="eastAsia" w:ascii="方正小标宋简体" w:eastAsia="方正小标宋简体"/>
          <w:sz w:val="44"/>
          <w:szCs w:val="44"/>
        </w:rPr>
      </w:pPr>
      <w:r>
        <w:rPr>
          <w:rFonts w:hint="eastAsia" w:ascii="方正小标宋简体" w:eastAsia="方正小标宋简体"/>
          <w:sz w:val="44"/>
          <w:szCs w:val="44"/>
        </w:rPr>
        <w:drawing>
          <wp:inline distT="0" distB="0" distL="0" distR="0">
            <wp:extent cx="4577080" cy="3048635"/>
            <wp:effectExtent l="0" t="0" r="13970" b="18415"/>
            <wp:docPr id="2038983165"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983165" name="图片 6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577080" cy="3048635"/>
                    </a:xfrm>
                    <a:prstGeom prst="rect">
                      <a:avLst/>
                    </a:prstGeom>
                    <a:noFill/>
                    <a:ln>
                      <a:noFill/>
                    </a:ln>
                  </pic:spPr>
                </pic:pic>
              </a:graphicData>
            </a:graphic>
          </wp:inline>
        </w:drawing>
      </w:r>
    </w:p>
    <w:p w14:paraId="5D7EEC94">
      <w:pPr>
        <w:jc w:val="center"/>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（昔日繁华的大北路）</w:t>
      </w:r>
    </w:p>
    <w:p w14:paraId="2312805D">
      <w:pPr>
        <w:spacing w:line="560" w:lineRule="exact"/>
        <w:ind w:firstLine="640" w:firstLineChars="200"/>
        <w:rPr>
          <w:rFonts w:hint="eastAsia" w:ascii="仿宋_GB2312" w:eastAsia="仿宋_GB2312"/>
          <w:sz w:val="32"/>
          <w:szCs w:val="32"/>
        </w:rPr>
      </w:pPr>
    </w:p>
    <w:p w14:paraId="54E8BA37">
      <w:pPr>
        <w:rPr>
          <w:rFonts w:hint="eastAsia" w:ascii="仿宋_GB2312" w:eastAsia="仿宋_GB2312"/>
          <w:sz w:val="32"/>
          <w:szCs w:val="32"/>
        </w:rPr>
      </w:pPr>
      <w:r>
        <w:rPr>
          <w:rFonts w:ascii="仿宋_GB2312" w:eastAsia="仿宋_GB2312"/>
          <w:sz w:val="32"/>
          <w:szCs w:val="32"/>
        </w:rPr>
        <w:drawing>
          <wp:anchor distT="0" distB="0" distL="114300" distR="114300" simplePos="0" relativeHeight="251660288" behindDoc="1" locked="0" layoutInCell="1" allowOverlap="1">
            <wp:simplePos x="0" y="0"/>
            <wp:positionH relativeFrom="column">
              <wp:posOffset>2766060</wp:posOffset>
            </wp:positionH>
            <wp:positionV relativeFrom="paragraph">
              <wp:posOffset>77470</wp:posOffset>
            </wp:positionV>
            <wp:extent cx="3197225" cy="2224405"/>
            <wp:effectExtent l="0" t="0" r="3175" b="4445"/>
            <wp:wrapNone/>
            <wp:docPr id="19526087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608778" name="图片 2"/>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200969" cy="2226932"/>
                    </a:xfrm>
                    <a:prstGeom prst="rect">
                      <a:avLst/>
                    </a:prstGeom>
                  </pic:spPr>
                </pic:pic>
              </a:graphicData>
            </a:graphic>
          </wp:anchor>
        </w:drawing>
      </w:r>
      <w:r>
        <w:rPr>
          <w:rFonts w:ascii="仿宋_GB2312" w:eastAsia="仿宋_GB2312"/>
          <w:sz w:val="32"/>
          <w:szCs w:val="32"/>
        </w:rPr>
        <w:drawing>
          <wp:inline distT="0" distB="0" distL="0" distR="0">
            <wp:extent cx="2609850" cy="2224405"/>
            <wp:effectExtent l="0" t="0" r="0" b="4445"/>
            <wp:docPr id="10877271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727172"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18689" cy="2232476"/>
                    </a:xfrm>
                    <a:prstGeom prst="rect">
                      <a:avLst/>
                    </a:prstGeom>
                  </pic:spPr>
                </pic:pic>
              </a:graphicData>
            </a:graphic>
          </wp:inline>
        </w:drawing>
      </w:r>
    </w:p>
    <w:p w14:paraId="7DF28FB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2019年1月22日早上6时</w:t>
      </w:r>
      <w:r>
        <w:rPr>
          <w:rFonts w:hint="eastAsia" w:ascii="仿宋_GB2312" w:eastAsia="仿宋_GB2312"/>
          <w:sz w:val="32"/>
          <w:szCs w:val="32"/>
          <w:lang w:eastAsia="zh-CN"/>
        </w:rPr>
        <w:t>起</w:t>
      </w:r>
      <w:r>
        <w:rPr>
          <w:rFonts w:hint="eastAsia" w:ascii="仿宋_GB2312" w:eastAsia="仿宋_GB2312"/>
          <w:sz w:val="32"/>
          <w:szCs w:val="32"/>
        </w:rPr>
        <w:t>，大北路、桥东路、环城中路实行</w:t>
      </w:r>
      <w:r>
        <w:rPr>
          <w:rFonts w:hint="eastAsia" w:ascii="仿宋_GB2312" w:eastAsia="仿宋_GB2312"/>
          <w:b/>
          <w:bCs/>
          <w:sz w:val="32"/>
          <w:szCs w:val="32"/>
        </w:rPr>
        <w:t>逆时针循环单行</w:t>
      </w:r>
      <w:r>
        <w:rPr>
          <w:rFonts w:hint="eastAsia" w:ascii="仿宋_GB2312" w:eastAsia="仿宋_GB2312"/>
          <w:sz w:val="32"/>
          <w:szCs w:val="32"/>
        </w:rPr>
        <w:t>。</w:t>
      </w:r>
      <w:r>
        <w:rPr>
          <w:rFonts w:hint="eastAsia" w:ascii="仿宋_GB2312" w:eastAsia="仿宋_GB2312"/>
          <w:sz w:val="32"/>
          <w:szCs w:val="32"/>
          <w:lang w:eastAsia="zh-CN"/>
        </w:rPr>
        <w:t>自此之后，</w:t>
      </w:r>
      <w:r>
        <w:rPr>
          <w:rFonts w:hint="eastAsia" w:ascii="仿宋_GB2312" w:eastAsia="仿宋_GB2312"/>
          <w:sz w:val="32"/>
          <w:szCs w:val="32"/>
        </w:rPr>
        <w:t>该处马路上的车辆纷纷呼啸而过，马路左侧的电动自行车却反向高速行驶</w:t>
      </w:r>
      <w:r>
        <w:rPr>
          <w:rFonts w:hint="eastAsia" w:ascii="仿宋_GB2312" w:eastAsia="仿宋_GB2312"/>
          <w:b/>
          <w:bCs/>
          <w:sz w:val="32"/>
          <w:szCs w:val="32"/>
        </w:rPr>
        <w:t>，</w:t>
      </w:r>
      <w:r>
        <w:rPr>
          <w:rFonts w:hint="eastAsia" w:ascii="仿宋_GB2312" w:eastAsia="仿宋_GB2312"/>
          <w:sz w:val="32"/>
          <w:szCs w:val="32"/>
        </w:rPr>
        <w:t>人行道上的人流量逐渐减少，商铺慢慢变得门可罗雀，大北路熙熙攘攘的繁华闹市街景逐渐消失，当地百姓常有投诉</w:t>
      </w:r>
      <w:r>
        <w:rPr>
          <w:rFonts w:hint="eastAsia" w:ascii="仿宋_GB2312" w:eastAsia="仿宋_GB2312"/>
          <w:sz w:val="32"/>
          <w:szCs w:val="32"/>
          <w:lang w:eastAsia="zh-CN"/>
        </w:rPr>
        <w:t>。</w:t>
      </w:r>
    </w:p>
    <w:p w14:paraId="108A0AF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单向通行实施五年，产生若干问题亟待解决，现应百姓诉求，就环大北路通行方向提出几点调整建议。具体理由如下：</w:t>
      </w:r>
    </w:p>
    <w:p w14:paraId="7134FD20">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Adobe 仿宋 Std R" w:eastAsia="楷体_GB2312"/>
          <w:b/>
          <w:bCs/>
          <w:sz w:val="32"/>
          <w:szCs w:val="32"/>
        </w:rPr>
      </w:pPr>
      <w:r>
        <w:rPr>
          <w:rFonts w:hint="eastAsia" w:ascii="楷体_GB2312" w:hAnsi="Adobe 仿宋 Std R" w:eastAsia="楷体_GB2312"/>
          <w:b/>
          <w:bCs/>
          <w:sz w:val="32"/>
          <w:szCs w:val="32"/>
        </w:rPr>
        <w:t>（一）</w:t>
      </w:r>
      <w:r>
        <w:rPr>
          <w:rFonts w:hint="eastAsia" w:ascii="仿宋_GB2312" w:hAnsi="Adobe 仿宋 Std R" w:eastAsia="仿宋_GB2312"/>
          <w:b/>
          <w:bCs/>
          <w:sz w:val="32"/>
          <w:szCs w:val="32"/>
        </w:rPr>
        <w:t>逆时针循环单行，</w:t>
      </w:r>
      <w:r>
        <w:rPr>
          <w:rFonts w:hint="eastAsia" w:ascii="楷体_GB2312" w:hAnsi="Adobe 仿宋 Std R" w:eastAsia="楷体_GB2312"/>
          <w:b/>
          <w:bCs/>
          <w:sz w:val="32"/>
          <w:szCs w:val="32"/>
        </w:rPr>
        <w:t>车速普遍超快</w:t>
      </w:r>
    </w:p>
    <w:p w14:paraId="2ECABA12">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Adobe 仿宋 Std R" w:eastAsia="仿宋_GB2312"/>
          <w:sz w:val="32"/>
          <w:szCs w:val="32"/>
        </w:rPr>
      </w:pPr>
      <w:r>
        <w:rPr>
          <w:rFonts w:hint="eastAsia" w:ascii="仿宋_GB2312" w:hAnsi="Adobe 仿宋 Std R" w:eastAsia="仿宋_GB2312"/>
          <w:sz w:val="32"/>
          <w:szCs w:val="32"/>
        </w:rPr>
        <w:t>据了解，改单行前，大北路与桥东路为双向4车道，环城中路为双向6车道。变更后为大北路与桥东路单向4车道，环城中路单向5车道。在非高峰时段，因车流量不大，车速普遍超快，部分车辆时速达到80-90公里，超出市区限速40公里的1倍以上，特别是环城中路，车速快，人行横道少，行人经常抄近路而横穿马路，造成交通事故的风险很高。车速超快，停车不便利，变相驱赶了往日休闲逛街的人群。</w:t>
      </w:r>
    </w:p>
    <w:p w14:paraId="0FDD4067">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Adobe 仿宋 Std R" w:eastAsia="楷体_GB2312"/>
          <w:b/>
          <w:bCs/>
          <w:sz w:val="32"/>
          <w:szCs w:val="32"/>
        </w:rPr>
      </w:pPr>
      <w:r>
        <w:rPr>
          <w:rFonts w:hint="eastAsia" w:ascii="楷体_GB2312" w:hAnsi="Adobe 仿宋 Std R" w:eastAsia="楷体_GB2312"/>
          <w:b/>
          <w:bCs/>
          <w:sz w:val="32"/>
          <w:szCs w:val="32"/>
        </w:rPr>
        <w:t>（二）非机动车道与机动车道反向通行，险象环生</w:t>
      </w:r>
    </w:p>
    <w:p w14:paraId="75935D54">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Adobe 仿宋 Std R" w:eastAsia="仿宋_GB2312"/>
          <w:sz w:val="32"/>
          <w:szCs w:val="32"/>
        </w:rPr>
      </w:pPr>
      <w:r>
        <w:rPr>
          <w:rFonts w:hint="eastAsia" w:ascii="仿宋_GB2312" w:hAnsi="Adobe 仿宋 Std R" w:eastAsia="仿宋_GB2312"/>
          <w:sz w:val="32"/>
          <w:szCs w:val="32"/>
        </w:rPr>
        <w:t>这个环行路段，设置了市桥街为数不多的安装了铁隔栏的非机动车道，其中左侧的非机动车道与逆时针机动车道是反方向行驶的，有违大众“顺向而行”</w:t>
      </w:r>
      <w:r>
        <w:rPr>
          <w:rFonts w:hint="eastAsia" w:ascii="仿宋_GB2312" w:hAnsi="Adobe 仿宋 Std R" w:eastAsia="仿宋_GB2312"/>
          <w:sz w:val="32"/>
          <w:szCs w:val="32"/>
          <w:lang w:eastAsia="zh-CN"/>
        </w:rPr>
        <w:t>的</w:t>
      </w:r>
      <w:r>
        <w:rPr>
          <w:rFonts w:hint="eastAsia" w:ascii="仿宋_GB2312" w:hAnsi="Adobe 仿宋 Std R" w:eastAsia="仿宋_GB2312"/>
          <w:sz w:val="32"/>
          <w:szCs w:val="32"/>
        </w:rPr>
        <w:t>常有认知。越来越多的电动自行车大军在非机动车道上飞驰，部分车速达50-60公里，特别是外卖骑手，开得特快，行人往往躲避不及。</w:t>
      </w:r>
    </w:p>
    <w:p w14:paraId="7E24199A">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Adobe 仿宋 Std R" w:eastAsia="楷体_GB2312"/>
          <w:b/>
          <w:bCs/>
          <w:sz w:val="32"/>
          <w:szCs w:val="32"/>
        </w:rPr>
      </w:pPr>
      <w:r>
        <w:rPr>
          <w:rFonts w:hint="eastAsia" w:ascii="楷体_GB2312" w:hAnsi="Adobe 仿宋 Std R" w:eastAsia="楷体_GB2312"/>
          <w:b/>
          <w:bCs/>
          <w:sz w:val="32"/>
          <w:szCs w:val="32"/>
        </w:rPr>
        <w:t>（三）环区中医院及区慢病站一侧没有公交车站</w:t>
      </w:r>
    </w:p>
    <w:p w14:paraId="04CA472D">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Adobe 仿宋 Std R" w:eastAsia="仿宋_GB2312"/>
          <w:sz w:val="32"/>
          <w:szCs w:val="32"/>
        </w:rPr>
      </w:pPr>
      <w:r>
        <w:rPr>
          <w:rFonts w:hint="eastAsia" w:ascii="仿宋_GB2312" w:hAnsi="Adobe 仿宋 Std R" w:eastAsia="仿宋_GB2312"/>
          <w:sz w:val="32"/>
          <w:szCs w:val="32"/>
        </w:rPr>
        <w:t>由于我国实行的是车辆右侧通行的交通规则，车辆左侧一般为机动车道，右侧为非机动车道(或人行道)，公交车均为乘客右侧下车。环区中医院及区慢病站一侧（即桥东社区）为逆时针循环单行马路的左侧，没有公交车站。环行一圈只有马路对侧（前进方向的右侧）设有4个公交车站。</w:t>
      </w:r>
      <w:r>
        <w:rPr>
          <w:rFonts w:hint="eastAsia" w:ascii="仿宋_GB2312" w:eastAsia="仿宋_GB2312"/>
          <w:sz w:val="32"/>
          <w:szCs w:val="32"/>
        </w:rPr>
        <w:t>据了解，近年升级改造后的区中医院日均门诊量达4000多人次，住院1100多人次，含医务人员及病人家属，每天进出区中医院达上万人次，进出区慢病站也有近千人次。</w:t>
      </w:r>
      <w:r>
        <w:rPr>
          <w:rFonts w:hint="eastAsia" w:ascii="仿宋_GB2312" w:hAnsi="Adobe 仿宋 Std R" w:eastAsia="仿宋_GB2312"/>
          <w:sz w:val="32"/>
          <w:szCs w:val="32"/>
        </w:rPr>
        <w:t>所有乘公交车前往的病人及家属必须穿过马路才能到达区中医院或区慢病站就诊，造成病人出行的极大不便与交通安全风险，病人横穿马路乱象每天都在发生。</w:t>
      </w:r>
    </w:p>
    <w:p w14:paraId="1A52004B">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Adobe 仿宋 Std R" w:eastAsia="楷体_GB2312"/>
          <w:b/>
          <w:bCs/>
          <w:sz w:val="32"/>
          <w:szCs w:val="32"/>
        </w:rPr>
      </w:pPr>
      <w:r>
        <w:rPr>
          <w:rFonts w:hint="eastAsia" w:ascii="楷体_GB2312" w:hAnsi="Adobe 仿宋 Std R" w:eastAsia="楷体_GB2312"/>
          <w:b/>
          <w:bCs/>
          <w:sz w:val="32"/>
          <w:szCs w:val="32"/>
        </w:rPr>
        <w:t>（四）逆时针单行，让大北路营商环境与经济氛围每况愈下</w:t>
      </w:r>
    </w:p>
    <w:p w14:paraId="7F47A769">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Adobe 仿宋 Std R" w:eastAsia="仿宋_GB2312"/>
          <w:sz w:val="32"/>
          <w:szCs w:val="32"/>
        </w:rPr>
      </w:pPr>
      <w:r>
        <w:rPr>
          <w:rFonts w:hint="eastAsia" w:ascii="仿宋_GB2312" w:hAnsi="Adobe 仿宋 Std R" w:eastAsia="仿宋_GB2312"/>
          <w:sz w:val="32"/>
          <w:szCs w:val="32"/>
        </w:rPr>
        <w:t>市桥是番禺区政府所在地，大北路是市桥的核心街区。在双向通行年代，大北路商圈的繁华远近驰名。自从改</w:t>
      </w:r>
      <w:r>
        <w:rPr>
          <w:rFonts w:hint="eastAsia" w:ascii="仿宋_GB2312" w:hAnsi="Adobe 仿宋 Std R" w:eastAsia="仿宋_GB2312"/>
          <w:sz w:val="32"/>
          <w:szCs w:val="32"/>
          <w:lang w:eastAsia="zh-CN"/>
        </w:rPr>
        <w:t>成</w:t>
      </w:r>
      <w:r>
        <w:rPr>
          <w:rFonts w:hint="eastAsia" w:ascii="仿宋_GB2312" w:hAnsi="Adobe 仿宋 Std R" w:eastAsia="仿宋_GB2312"/>
          <w:b w:val="0"/>
          <w:bCs w:val="0"/>
          <w:sz w:val="32"/>
          <w:szCs w:val="32"/>
          <w:u w:val="none"/>
        </w:rPr>
        <w:t>逆时针循环单行</w:t>
      </w:r>
      <w:r>
        <w:rPr>
          <w:rFonts w:hint="eastAsia" w:ascii="仿宋_GB2312" w:hAnsi="Adobe 仿宋 Std R" w:eastAsia="仿宋_GB2312"/>
          <w:sz w:val="32"/>
          <w:szCs w:val="32"/>
        </w:rPr>
        <w:t>后，单向车道多，车速超快，市民上下车既不安全又不方便，逗留消费的意欲逐渐降低；公交车受单行线影响，同地点有来无回，市民下车后需步行到另一条马路才能乘公交车返回。交通不便造成大北路</w:t>
      </w:r>
      <w:r>
        <w:rPr>
          <w:rFonts w:hint="eastAsia" w:ascii="仿宋_GB2312" w:eastAsia="仿宋_GB2312"/>
          <w:sz w:val="32"/>
          <w:szCs w:val="32"/>
        </w:rPr>
        <w:t>吃喝玩乐及购物消费</w:t>
      </w:r>
      <w:r>
        <w:rPr>
          <w:rFonts w:hint="eastAsia" w:ascii="仿宋_GB2312" w:hAnsi="Adobe 仿宋 Std R" w:eastAsia="仿宋_GB2312"/>
          <w:sz w:val="32"/>
          <w:szCs w:val="32"/>
        </w:rPr>
        <w:t>的吸引力日渐下降，对临街商铺的经营带来了明显负面影响，营商环境与经济氛围每况愈下。据了解，实行单向通行至今五年，常有市民向交通部门反映恢复双向通行诉求，但没得到有效回应。</w:t>
      </w:r>
    </w:p>
    <w:p w14:paraId="785F3E8B">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Adobe 仿宋 Std R" w:eastAsia="楷体_GB2312"/>
          <w:b/>
          <w:bCs/>
          <w:sz w:val="32"/>
          <w:szCs w:val="32"/>
        </w:rPr>
      </w:pPr>
      <w:r>
        <w:rPr>
          <w:rFonts w:hint="eastAsia" w:ascii="楷体_GB2312" w:hAnsi="Adobe 仿宋 Std R" w:eastAsia="楷体_GB2312"/>
          <w:b/>
          <w:bCs/>
          <w:sz w:val="32"/>
          <w:szCs w:val="32"/>
        </w:rPr>
        <w:t>（五）单向通行后车道增多，占道乱停车现象严重</w:t>
      </w:r>
    </w:p>
    <w:p w14:paraId="4109CFEF">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Adobe 仿宋 Std R" w:eastAsia="仿宋_GB2312"/>
          <w:sz w:val="32"/>
          <w:szCs w:val="32"/>
        </w:rPr>
      </w:pPr>
      <w:r>
        <w:rPr>
          <w:rFonts w:hint="eastAsia" w:ascii="仿宋_GB2312" w:hAnsi="Adobe 仿宋 Std R" w:eastAsia="仿宋_GB2312"/>
          <w:sz w:val="32"/>
          <w:szCs w:val="32"/>
        </w:rPr>
        <w:t>实行单向通行后，环城中路仍设有5个车道，在区慢病站和清迈大排档</w:t>
      </w:r>
      <w:r>
        <w:rPr>
          <w:rFonts w:hint="eastAsia" w:ascii="仿宋_GB2312" w:hAnsi="Adobe 仿宋 Std R" w:eastAsia="仿宋_GB2312"/>
          <w:sz w:val="32"/>
          <w:szCs w:val="32"/>
          <w:lang w:eastAsia="zh-CN"/>
        </w:rPr>
        <w:t>之间</w:t>
      </w:r>
      <w:r>
        <w:rPr>
          <w:rFonts w:hint="eastAsia" w:ascii="仿宋_GB2312" w:hAnsi="Adobe 仿宋 Std R" w:eastAsia="仿宋_GB2312"/>
          <w:sz w:val="32"/>
          <w:szCs w:val="32"/>
        </w:rPr>
        <w:t>路段，由于车道宽松，经常出现占用两个车道或以上的乱停车现象，高峰期造成交通拥堵，且乘客在右侧下车时，实际上是在马路中间下车，极为危险。另外，桥东路东段区中医院门口附近也是常有乘客或病人在右侧下车，既危险又造成交通拥堵。</w:t>
      </w:r>
    </w:p>
    <w:p w14:paraId="1D9608A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b/>
          <w:bCs/>
          <w:sz w:val="32"/>
          <w:szCs w:val="32"/>
        </w:rPr>
      </w:pPr>
    </w:p>
    <w:p w14:paraId="355D930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bCs/>
          <w:color w:val="000000"/>
          <w:sz w:val="32"/>
          <w:szCs w:val="32"/>
        </w:rPr>
      </w:pPr>
      <w:r>
        <w:rPr>
          <w:rFonts w:hint="eastAsia" w:ascii="黑体" w:hAnsi="黑体" w:eastAsia="黑体" w:cs="黑体"/>
          <w:b/>
          <w:bCs/>
          <w:sz w:val="32"/>
          <w:szCs w:val="32"/>
          <w:lang w:eastAsia="zh-CN"/>
        </w:rPr>
        <w:t>办法</w:t>
      </w:r>
      <w:r>
        <w:rPr>
          <w:rFonts w:hint="eastAsia" w:ascii="黑体" w:hAnsi="黑体" w:eastAsia="黑体" w:cs="黑体"/>
          <w:b/>
          <w:bCs/>
          <w:sz w:val="32"/>
          <w:szCs w:val="32"/>
        </w:rPr>
        <w:t>：</w:t>
      </w:r>
    </w:p>
    <w:p w14:paraId="520D2868">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黑体" w:eastAsia="仿宋_GB2312"/>
          <w:b/>
          <w:bCs/>
          <w:sz w:val="32"/>
          <w:szCs w:val="32"/>
        </w:rPr>
      </w:pPr>
      <w:r>
        <w:rPr>
          <w:rFonts w:hint="eastAsia" w:ascii="仿宋_GB2312" w:hAnsi="黑体" w:eastAsia="仿宋_GB2312"/>
          <w:sz w:val="32"/>
          <w:szCs w:val="32"/>
        </w:rPr>
        <w:t>建议有关部门在推行交通治理措施时，兼顾考虑</w:t>
      </w:r>
      <w:r>
        <w:rPr>
          <w:rFonts w:hint="eastAsia" w:ascii="仿宋_GB2312" w:hAnsi="Adobe 仿宋 Std R" w:eastAsia="仿宋_GB2312"/>
          <w:sz w:val="32"/>
          <w:szCs w:val="32"/>
        </w:rPr>
        <w:t>当地民生实际情况，多为弱势群体着想，多为普通老百姓服务。</w:t>
      </w:r>
    </w:p>
    <w:p w14:paraId="0B384824">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黑体" w:eastAsia="楷体_GB2312"/>
          <w:b/>
          <w:bCs/>
          <w:sz w:val="32"/>
          <w:szCs w:val="32"/>
        </w:rPr>
      </w:pPr>
      <w:r>
        <w:rPr>
          <w:rFonts w:hint="eastAsia" w:ascii="楷体_GB2312" w:hAnsi="黑体" w:eastAsia="楷体_GB2312"/>
          <w:b/>
          <w:bCs/>
          <w:sz w:val="32"/>
          <w:szCs w:val="32"/>
        </w:rPr>
        <w:t>（一）恢复大北路、桥东路西段及环城中路为双向通行</w:t>
      </w:r>
    </w:p>
    <w:p w14:paraId="388798A1">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eastAsia="仿宋_GB2312"/>
          <w:sz w:val="32"/>
          <w:szCs w:val="32"/>
        </w:rPr>
      </w:pPr>
      <w:r>
        <w:rPr>
          <w:rFonts w:hint="eastAsia" w:ascii="仿宋_GB2312" w:eastAsia="仿宋_GB2312"/>
          <w:sz w:val="32"/>
          <w:szCs w:val="32"/>
        </w:rPr>
        <w:t>经实地走访大北路、桥东路及环城中路两侧商铺经营人员及附近街坊近50名，一致认为上述路段恢复双向通行，对商铺经营增收有促进作用，对引起交通拥堵影响不大。</w:t>
      </w:r>
      <w:r>
        <w:rPr>
          <w:rFonts w:hint="eastAsia" w:ascii="仿宋_GB2312" w:eastAsia="仿宋_GB2312"/>
          <w:b w:val="0"/>
          <w:bCs w:val="0"/>
          <w:sz w:val="32"/>
          <w:szCs w:val="32"/>
          <w:u w:val="none"/>
        </w:rPr>
        <w:t>恢复双向通行（见附图）</w:t>
      </w:r>
      <w:r>
        <w:rPr>
          <w:rFonts w:hint="eastAsia" w:ascii="仿宋_GB2312" w:eastAsia="仿宋_GB2312"/>
          <w:sz w:val="32"/>
          <w:szCs w:val="32"/>
        </w:rPr>
        <w:t>，大北路与桥东路西段双向4车道，环城中路双向6车道，马路中间设置隔离护栏，马路两侧不设停车位，非机动车道与机动车道同向，以划线为标识</w:t>
      </w:r>
      <w:r>
        <w:rPr>
          <w:rFonts w:hint="eastAsia" w:ascii="仿宋_GB2312" w:hAnsi="黑体" w:eastAsia="仿宋_GB2312"/>
          <w:sz w:val="32"/>
          <w:szCs w:val="32"/>
        </w:rPr>
        <w:t>，不设非机动车道隔栏。这样可引导车速回归正常，</w:t>
      </w:r>
      <w:r>
        <w:rPr>
          <w:rFonts w:hint="eastAsia" w:ascii="仿宋_GB2312" w:eastAsia="仿宋_GB2312"/>
          <w:sz w:val="32"/>
          <w:szCs w:val="32"/>
        </w:rPr>
        <w:t>有助人流量回升，有利于重新盘活大北路商圈。</w:t>
      </w:r>
    </w:p>
    <w:p w14:paraId="79DDD6A3">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eastAsia="楷体_GB2312"/>
          <w:b/>
          <w:bCs/>
          <w:sz w:val="32"/>
          <w:szCs w:val="32"/>
        </w:rPr>
      </w:pPr>
      <w:r>
        <w:rPr>
          <w:rFonts w:hint="eastAsia" w:ascii="楷体_GB2312" w:eastAsia="楷体_GB2312"/>
          <w:b/>
          <w:bCs/>
          <w:sz w:val="32"/>
          <w:szCs w:val="32"/>
        </w:rPr>
        <w:t>（二）调整桥东路东段（区中医院门口段）为顺时针单向</w:t>
      </w:r>
    </w:p>
    <w:p w14:paraId="3CBFF3A9">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eastAsia="仿宋_GB2312"/>
          <w:sz w:val="32"/>
          <w:szCs w:val="32"/>
        </w:rPr>
      </w:pPr>
      <w:r>
        <w:rPr>
          <w:rFonts w:hint="eastAsia" w:ascii="仿宋_GB2312" w:eastAsia="仿宋_GB2312"/>
          <w:sz w:val="32"/>
          <w:szCs w:val="32"/>
        </w:rPr>
        <w:t>鉴于桥东路东段为区中医院门口处，停车接送病人及乘客情况较多，为提高病人上下车时的安全性和减少交通拥堵，建议调整桥东路东段（中医院门口段）为</w:t>
      </w:r>
      <w:r>
        <w:rPr>
          <w:rFonts w:hint="eastAsia" w:ascii="仿宋_GB2312" w:eastAsia="仿宋_GB2312"/>
          <w:b w:val="0"/>
          <w:bCs w:val="0"/>
          <w:sz w:val="32"/>
          <w:szCs w:val="32"/>
          <w:u w:val="none"/>
        </w:rPr>
        <w:t>顺时针单向（见附图），</w:t>
      </w:r>
      <w:r>
        <w:rPr>
          <w:rFonts w:hint="eastAsia" w:ascii="仿宋_GB2312" w:eastAsia="仿宋_GB2312"/>
          <w:sz w:val="32"/>
          <w:szCs w:val="32"/>
        </w:rPr>
        <w:t>设单向4车道，右侧车道为公交车专用道。病人及乘客即可直接在医院门口下车（右侧下车），不需横穿马路就能进到医院，既提高交通安全性，又能减少因等行人过马路引起的拥堵。另外，区中医院停车场入口设在环城中路，出口设在桥东路，车辆从停车场出来右转即可进入马路，避免了左转跨线造成交通拥堵。</w:t>
      </w:r>
    </w:p>
    <w:p w14:paraId="50808236">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eastAsia="楷体_GB2312"/>
          <w:b/>
          <w:bCs/>
          <w:sz w:val="32"/>
          <w:szCs w:val="32"/>
        </w:rPr>
      </w:pPr>
      <w:r>
        <w:rPr>
          <w:rFonts w:hint="eastAsia" w:ascii="楷体_GB2312" w:eastAsia="楷体_GB2312"/>
          <w:b/>
          <w:bCs/>
          <w:sz w:val="32"/>
          <w:szCs w:val="32"/>
        </w:rPr>
        <w:t>（三）恢复与调整部分公交车站，利于群众往返</w:t>
      </w:r>
    </w:p>
    <w:p w14:paraId="359806A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b/>
          <w:bCs/>
          <w:sz w:val="32"/>
          <w:szCs w:val="32"/>
        </w:rPr>
      </w:pPr>
      <w:r>
        <w:rPr>
          <w:rFonts w:hint="eastAsia" w:ascii="仿宋_GB2312" w:eastAsia="仿宋_GB2312"/>
          <w:sz w:val="32"/>
          <w:szCs w:val="32"/>
        </w:rPr>
        <w:t>按上述方案调整通行后，根据当前环桥东社区人流量实际情况，在桥东社区侧恢复设置至少4个公交车站。一是位于区中医院正门口稍西侧</w:t>
      </w:r>
      <w:r>
        <w:rPr>
          <w:rFonts w:hint="eastAsia" w:ascii="仿宋_GB2312" w:eastAsia="仿宋_GB2312"/>
          <w:b w:val="0"/>
          <w:bCs w:val="0"/>
          <w:sz w:val="32"/>
          <w:szCs w:val="32"/>
          <w:u w:val="none"/>
        </w:rPr>
        <w:t>的区中医院站；二是位于桥东路西段的区中医院西站；三是位于环城中路的区慢病站站（即星海公园站）；四是位于大北路中段的大北路站。并适当调整公</w:t>
      </w:r>
      <w:r>
        <w:rPr>
          <w:rFonts w:hint="eastAsia" w:ascii="仿宋_GB2312" w:eastAsia="仿宋_GB2312"/>
          <w:sz w:val="32"/>
          <w:szCs w:val="32"/>
        </w:rPr>
        <w:t>交线路，以利于病人及群众出行往返。</w:t>
      </w:r>
    </w:p>
    <w:p w14:paraId="08D9D56E">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eastAsia="楷体_GB2312"/>
          <w:b/>
          <w:bCs/>
          <w:sz w:val="32"/>
          <w:szCs w:val="32"/>
        </w:rPr>
      </w:pPr>
      <w:r>
        <w:rPr>
          <w:rFonts w:hint="eastAsia" w:ascii="楷体_GB2312" w:eastAsia="楷体_GB2312"/>
          <w:b/>
          <w:bCs/>
          <w:sz w:val="32"/>
          <w:szCs w:val="32"/>
        </w:rPr>
        <w:t>（四）在环城中路区慢病站段增设人行横道斑马线</w:t>
      </w:r>
    </w:p>
    <w:p w14:paraId="5B5A0DA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目前环城中路上只有直对新城大街的一条人行横道斑马线，距离星海公园与区慢病站均有一段路程。鉴于该处群众乱穿马路现状横行，现建议在星海公园正门口右侧对应区慢病站门口附近新设置一条人行横道斑马线。此斑马线有利于群众更安全更短距离步行至区中医院、区慢病站及星海公园等地点及附近公交车站。</w:t>
      </w:r>
    </w:p>
    <w:p w14:paraId="7F433EF4">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eastAsia="楷体_GB2312"/>
          <w:b/>
          <w:bCs/>
          <w:sz w:val="32"/>
          <w:szCs w:val="32"/>
        </w:rPr>
      </w:pPr>
      <w:r>
        <w:rPr>
          <w:rFonts w:hint="eastAsia" w:ascii="楷体_GB2312" w:eastAsia="楷体_GB2312"/>
          <w:b/>
          <w:bCs/>
          <w:sz w:val="32"/>
          <w:szCs w:val="32"/>
        </w:rPr>
        <w:t>（五）在桥东社区及周边创造条件增设停车场</w:t>
      </w:r>
    </w:p>
    <w:p w14:paraId="4872A0F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为缓解周边群众及区中医院、区慢病站病人停车难的问题，建议在桥东社区及环中医院周边创造条件增建便民停车场，并制定合理指引，有效引导群众自愿停车到附近停车场，如前半小时免费、择时段免费等合理收费举措。为避免恢复双向通行后出现交通拥堵，建议大北路、桥东路及环城中路均不设路边停车位。</w:t>
      </w:r>
    </w:p>
    <w:p w14:paraId="31F42EC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eastAsia="仿宋_GB2312" w:cs="Times New Roman"/>
          <w:sz w:val="32"/>
          <w:szCs w:val="32"/>
        </w:rPr>
      </w:pPr>
    </w:p>
    <w:p w14:paraId="1128EC4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hAnsi="Times New Roman" w:eastAsia="仿宋_GB2312" w:cs="Times New Roman"/>
          <w:sz w:val="32"/>
          <w:szCs w:val="32"/>
        </w:rPr>
        <w:t>附件：市桥</w:t>
      </w:r>
      <w:r>
        <w:rPr>
          <w:rFonts w:hint="eastAsia" w:ascii="仿宋_GB2312" w:eastAsia="仿宋_GB2312"/>
          <w:sz w:val="32"/>
          <w:szCs w:val="32"/>
        </w:rPr>
        <w:t>街大北路、桥东路及环城中路交通调整示意图</w:t>
      </w:r>
    </w:p>
    <w:p w14:paraId="4ABD4E1E">
      <w:pPr>
        <w:rPr>
          <w:rFonts w:hint="eastAsia" w:ascii="黑体" w:hAnsi="黑体" w:eastAsia="黑体"/>
          <w:b/>
          <w:bCs/>
          <w:sz w:val="32"/>
          <w:szCs w:val="32"/>
        </w:rPr>
      </w:pPr>
      <w:r>
        <w:rPr>
          <w:rFonts w:hint="eastAsia" w:ascii="黑体" w:hAnsi="黑体" w:eastAsia="黑体"/>
          <w:b/>
          <w:bCs/>
          <w:sz w:val="32"/>
          <w:szCs w:val="32"/>
        </w:rPr>
        <w:br w:type="page"/>
      </w:r>
    </w:p>
    <w:p w14:paraId="5376BBF2">
      <w:pPr>
        <w:rPr>
          <w:rFonts w:hint="eastAsia" w:ascii="黑体" w:hAnsi="黑体" w:eastAsia="黑体"/>
          <w:b w:val="0"/>
          <w:bCs w:val="0"/>
          <w:sz w:val="32"/>
          <w:szCs w:val="32"/>
          <w:lang w:eastAsia="zh-CN"/>
        </w:rPr>
      </w:pPr>
      <w:r>
        <w:rPr>
          <w:rFonts w:hint="eastAsia" w:ascii="黑体" w:hAnsi="黑体" w:eastAsia="黑体"/>
          <w:b w:val="0"/>
          <w:bCs w:val="0"/>
          <w:sz w:val="32"/>
          <w:szCs w:val="32"/>
        </w:rPr>
        <w:t>附件</w:t>
      </w:r>
      <w:r>
        <w:rPr>
          <w:rFonts w:hint="eastAsia" w:ascii="黑体" w:hAnsi="黑体" w:eastAsia="黑体"/>
          <w:b w:val="0"/>
          <w:bCs w:val="0"/>
          <w:sz w:val="32"/>
          <w:szCs w:val="32"/>
          <w:lang w:eastAsia="zh-CN"/>
        </w:rPr>
        <w:t>：</w:t>
      </w:r>
    </w:p>
    <w:p w14:paraId="09490C38">
      <w:pPr>
        <w:rPr>
          <w:rFonts w:hint="eastAsia" w:ascii="仿宋_GB2312" w:eastAsia="仿宋_GB2312"/>
          <w:sz w:val="32"/>
          <w:szCs w:val="32"/>
        </w:rPr>
      </w:pPr>
      <w:r>
        <w:rPr>
          <w:rFonts w:hint="eastAsia" w:ascii="仿宋_GB2312" w:eastAsia="仿宋_GB2312"/>
          <w:sz w:val="32"/>
          <w:szCs w:val="32"/>
        </w:rPr>
        <w:drawing>
          <wp:anchor distT="0" distB="0" distL="114300" distR="114300" simplePos="0" relativeHeight="251661312" behindDoc="0" locked="0" layoutInCell="1" allowOverlap="1">
            <wp:simplePos x="0" y="0"/>
            <wp:positionH relativeFrom="margin">
              <wp:align>right</wp:align>
            </wp:positionH>
            <wp:positionV relativeFrom="paragraph">
              <wp:posOffset>34925</wp:posOffset>
            </wp:positionV>
            <wp:extent cx="5759450" cy="8413115"/>
            <wp:effectExtent l="0" t="0" r="0" b="6985"/>
            <wp:wrapNone/>
            <wp:docPr id="16455557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555765"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450" cy="8413115"/>
                    </a:xfrm>
                    <a:prstGeom prst="rect">
                      <a:avLst/>
                    </a:prstGeom>
                  </pic:spPr>
                </pic:pic>
              </a:graphicData>
            </a:graphic>
          </wp:anchor>
        </w:drawing>
      </w:r>
    </w:p>
    <w:p w14:paraId="250245C2">
      <w:pPr>
        <w:pStyle w:val="2"/>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2024年1月10日</w:t>
      </w:r>
      <w:bookmarkStart w:id="1" w:name="_GoBack"/>
      <w:bookmarkEnd w:id="1"/>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dobe 仿宋 Std R">
    <w:altName w:val="仿宋"/>
    <w:panose1 w:val="02020400000000000000"/>
    <w:charset w:val="86"/>
    <w:family w:val="roman"/>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DCC80">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79CB02">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779CB02">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p w14:paraId="58933800">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kwYTE0NmM1NTIwMGM3YWMzOGFjYmVhM2MzMTZhYWMifQ=="/>
  </w:docVars>
  <w:rsids>
    <w:rsidRoot w:val="00172A27"/>
    <w:rsid w:val="00001636"/>
    <w:rsid w:val="000019C4"/>
    <w:rsid w:val="0000236E"/>
    <w:rsid w:val="000035AA"/>
    <w:rsid w:val="000077E7"/>
    <w:rsid w:val="00007B61"/>
    <w:rsid w:val="00027BB7"/>
    <w:rsid w:val="00043009"/>
    <w:rsid w:val="00070749"/>
    <w:rsid w:val="000853AF"/>
    <w:rsid w:val="00091D72"/>
    <w:rsid w:val="00095938"/>
    <w:rsid w:val="000B1FBE"/>
    <w:rsid w:val="000B3023"/>
    <w:rsid w:val="000C0C57"/>
    <w:rsid w:val="000C5D1D"/>
    <w:rsid w:val="000C7B40"/>
    <w:rsid w:val="000D48A9"/>
    <w:rsid w:val="000D68ED"/>
    <w:rsid w:val="000E2B67"/>
    <w:rsid w:val="000E2EB4"/>
    <w:rsid w:val="000E73E3"/>
    <w:rsid w:val="000F4102"/>
    <w:rsid w:val="000F4DCE"/>
    <w:rsid w:val="000F7528"/>
    <w:rsid w:val="00101D9C"/>
    <w:rsid w:val="00110E4F"/>
    <w:rsid w:val="00116AC5"/>
    <w:rsid w:val="00117031"/>
    <w:rsid w:val="001212A9"/>
    <w:rsid w:val="00125736"/>
    <w:rsid w:val="00151255"/>
    <w:rsid w:val="0015311C"/>
    <w:rsid w:val="001538F5"/>
    <w:rsid w:val="001631E3"/>
    <w:rsid w:val="00167161"/>
    <w:rsid w:val="00172A27"/>
    <w:rsid w:val="00175F8D"/>
    <w:rsid w:val="00180AB7"/>
    <w:rsid w:val="00184D56"/>
    <w:rsid w:val="00187281"/>
    <w:rsid w:val="001A5F0A"/>
    <w:rsid w:val="001B1FEE"/>
    <w:rsid w:val="001C2281"/>
    <w:rsid w:val="001C3531"/>
    <w:rsid w:val="001C6B5F"/>
    <w:rsid w:val="001C6BD5"/>
    <w:rsid w:val="001C7727"/>
    <w:rsid w:val="001D57F8"/>
    <w:rsid w:val="001F0B8A"/>
    <w:rsid w:val="001F793D"/>
    <w:rsid w:val="002040E6"/>
    <w:rsid w:val="00211E5B"/>
    <w:rsid w:val="00214003"/>
    <w:rsid w:val="00223A89"/>
    <w:rsid w:val="00223BFA"/>
    <w:rsid w:val="0022715C"/>
    <w:rsid w:val="00233ED1"/>
    <w:rsid w:val="00244FD3"/>
    <w:rsid w:val="00245134"/>
    <w:rsid w:val="00260763"/>
    <w:rsid w:val="002751FA"/>
    <w:rsid w:val="00276717"/>
    <w:rsid w:val="0028197B"/>
    <w:rsid w:val="00283432"/>
    <w:rsid w:val="00284387"/>
    <w:rsid w:val="002A2B82"/>
    <w:rsid w:val="002B0B2E"/>
    <w:rsid w:val="002D30C3"/>
    <w:rsid w:val="002D4695"/>
    <w:rsid w:val="002E1037"/>
    <w:rsid w:val="002E6C64"/>
    <w:rsid w:val="002F7384"/>
    <w:rsid w:val="00315038"/>
    <w:rsid w:val="00315D4B"/>
    <w:rsid w:val="00345BB9"/>
    <w:rsid w:val="003576A3"/>
    <w:rsid w:val="0036016A"/>
    <w:rsid w:val="0039033E"/>
    <w:rsid w:val="00397F0D"/>
    <w:rsid w:val="003A15AE"/>
    <w:rsid w:val="003A415C"/>
    <w:rsid w:val="003A6A84"/>
    <w:rsid w:val="003B1B5E"/>
    <w:rsid w:val="003B412A"/>
    <w:rsid w:val="003B798C"/>
    <w:rsid w:val="003D6F17"/>
    <w:rsid w:val="003F06C4"/>
    <w:rsid w:val="003F4A40"/>
    <w:rsid w:val="004072F6"/>
    <w:rsid w:val="00445C8C"/>
    <w:rsid w:val="0048028F"/>
    <w:rsid w:val="00493363"/>
    <w:rsid w:val="0049642E"/>
    <w:rsid w:val="004A1C65"/>
    <w:rsid w:val="004B0278"/>
    <w:rsid w:val="004B52A9"/>
    <w:rsid w:val="004B658E"/>
    <w:rsid w:val="004C1FC8"/>
    <w:rsid w:val="004C55DE"/>
    <w:rsid w:val="004C76D4"/>
    <w:rsid w:val="004E49EB"/>
    <w:rsid w:val="004E4B6B"/>
    <w:rsid w:val="004F43C8"/>
    <w:rsid w:val="004F793A"/>
    <w:rsid w:val="005026DB"/>
    <w:rsid w:val="00515F00"/>
    <w:rsid w:val="005279A6"/>
    <w:rsid w:val="005308D3"/>
    <w:rsid w:val="00531A88"/>
    <w:rsid w:val="00532B06"/>
    <w:rsid w:val="005426B4"/>
    <w:rsid w:val="00550CE3"/>
    <w:rsid w:val="00556097"/>
    <w:rsid w:val="005669CB"/>
    <w:rsid w:val="00567C9E"/>
    <w:rsid w:val="00571822"/>
    <w:rsid w:val="0057611B"/>
    <w:rsid w:val="00576D02"/>
    <w:rsid w:val="00577C51"/>
    <w:rsid w:val="005B24CC"/>
    <w:rsid w:val="005B3FC3"/>
    <w:rsid w:val="005C08B5"/>
    <w:rsid w:val="005D2E2F"/>
    <w:rsid w:val="005E05F0"/>
    <w:rsid w:val="005F2819"/>
    <w:rsid w:val="006064FF"/>
    <w:rsid w:val="0061664B"/>
    <w:rsid w:val="00617551"/>
    <w:rsid w:val="00617F15"/>
    <w:rsid w:val="00631EF1"/>
    <w:rsid w:val="00641C53"/>
    <w:rsid w:val="00661D0E"/>
    <w:rsid w:val="00664542"/>
    <w:rsid w:val="00670285"/>
    <w:rsid w:val="00674A0D"/>
    <w:rsid w:val="00691B4C"/>
    <w:rsid w:val="0069404F"/>
    <w:rsid w:val="00696176"/>
    <w:rsid w:val="006A462A"/>
    <w:rsid w:val="006B5269"/>
    <w:rsid w:val="006C1F00"/>
    <w:rsid w:val="006C4897"/>
    <w:rsid w:val="006D6BE6"/>
    <w:rsid w:val="006E28DD"/>
    <w:rsid w:val="006E5EB7"/>
    <w:rsid w:val="006E6868"/>
    <w:rsid w:val="006E6C35"/>
    <w:rsid w:val="006F7867"/>
    <w:rsid w:val="00700056"/>
    <w:rsid w:val="00700E16"/>
    <w:rsid w:val="007120E8"/>
    <w:rsid w:val="00761149"/>
    <w:rsid w:val="00766A1D"/>
    <w:rsid w:val="00774408"/>
    <w:rsid w:val="00776CA4"/>
    <w:rsid w:val="007832B8"/>
    <w:rsid w:val="0079005F"/>
    <w:rsid w:val="007C0D0C"/>
    <w:rsid w:val="007C66FD"/>
    <w:rsid w:val="007D09F4"/>
    <w:rsid w:val="007D407D"/>
    <w:rsid w:val="007D4DC7"/>
    <w:rsid w:val="007D62AD"/>
    <w:rsid w:val="008017FE"/>
    <w:rsid w:val="008059F1"/>
    <w:rsid w:val="00814B04"/>
    <w:rsid w:val="00826AF4"/>
    <w:rsid w:val="0083438D"/>
    <w:rsid w:val="00846C1D"/>
    <w:rsid w:val="008553E9"/>
    <w:rsid w:val="00856877"/>
    <w:rsid w:val="00857F42"/>
    <w:rsid w:val="008661AE"/>
    <w:rsid w:val="008A4806"/>
    <w:rsid w:val="008C769E"/>
    <w:rsid w:val="009003F0"/>
    <w:rsid w:val="009030E3"/>
    <w:rsid w:val="009038AB"/>
    <w:rsid w:val="00910FB5"/>
    <w:rsid w:val="009277EB"/>
    <w:rsid w:val="0093328F"/>
    <w:rsid w:val="00934E7A"/>
    <w:rsid w:val="0093798D"/>
    <w:rsid w:val="0094671A"/>
    <w:rsid w:val="009542A7"/>
    <w:rsid w:val="00962B26"/>
    <w:rsid w:val="0097410E"/>
    <w:rsid w:val="00975342"/>
    <w:rsid w:val="009807A5"/>
    <w:rsid w:val="00983E2B"/>
    <w:rsid w:val="00990655"/>
    <w:rsid w:val="009A3BDC"/>
    <w:rsid w:val="009A5C64"/>
    <w:rsid w:val="009C2459"/>
    <w:rsid w:val="009C50CF"/>
    <w:rsid w:val="009E136C"/>
    <w:rsid w:val="009E336B"/>
    <w:rsid w:val="009E6DC9"/>
    <w:rsid w:val="009E6FFB"/>
    <w:rsid w:val="009F4CE2"/>
    <w:rsid w:val="009F6513"/>
    <w:rsid w:val="009F73D3"/>
    <w:rsid w:val="00A015A0"/>
    <w:rsid w:val="00A21182"/>
    <w:rsid w:val="00A220DB"/>
    <w:rsid w:val="00A45BFD"/>
    <w:rsid w:val="00A93530"/>
    <w:rsid w:val="00A9522F"/>
    <w:rsid w:val="00A95392"/>
    <w:rsid w:val="00AA0DAE"/>
    <w:rsid w:val="00AB095F"/>
    <w:rsid w:val="00AB5CC2"/>
    <w:rsid w:val="00AC042B"/>
    <w:rsid w:val="00AC7469"/>
    <w:rsid w:val="00AD34CA"/>
    <w:rsid w:val="00AD6B8C"/>
    <w:rsid w:val="00AE56A1"/>
    <w:rsid w:val="00AF19CB"/>
    <w:rsid w:val="00AF4E99"/>
    <w:rsid w:val="00AF509B"/>
    <w:rsid w:val="00B13E45"/>
    <w:rsid w:val="00B22DB3"/>
    <w:rsid w:val="00B2325C"/>
    <w:rsid w:val="00B2459E"/>
    <w:rsid w:val="00B37854"/>
    <w:rsid w:val="00B45885"/>
    <w:rsid w:val="00B55BD8"/>
    <w:rsid w:val="00B73460"/>
    <w:rsid w:val="00B86C18"/>
    <w:rsid w:val="00BA253B"/>
    <w:rsid w:val="00BB0E4A"/>
    <w:rsid w:val="00BB31D9"/>
    <w:rsid w:val="00BB7495"/>
    <w:rsid w:val="00BC0FAC"/>
    <w:rsid w:val="00BD1C9C"/>
    <w:rsid w:val="00BD7F3A"/>
    <w:rsid w:val="00BE17B1"/>
    <w:rsid w:val="00BE37C8"/>
    <w:rsid w:val="00BE498C"/>
    <w:rsid w:val="00C023B8"/>
    <w:rsid w:val="00C13EAA"/>
    <w:rsid w:val="00C35DC9"/>
    <w:rsid w:val="00C37806"/>
    <w:rsid w:val="00C5263B"/>
    <w:rsid w:val="00C55655"/>
    <w:rsid w:val="00C62A9C"/>
    <w:rsid w:val="00C67EAD"/>
    <w:rsid w:val="00C707A0"/>
    <w:rsid w:val="00C708CC"/>
    <w:rsid w:val="00C85442"/>
    <w:rsid w:val="00C90A74"/>
    <w:rsid w:val="00CA257E"/>
    <w:rsid w:val="00CA35C5"/>
    <w:rsid w:val="00CB6261"/>
    <w:rsid w:val="00CB6660"/>
    <w:rsid w:val="00CC4261"/>
    <w:rsid w:val="00CE2940"/>
    <w:rsid w:val="00CF2210"/>
    <w:rsid w:val="00CF6F66"/>
    <w:rsid w:val="00D11E2D"/>
    <w:rsid w:val="00D43AD6"/>
    <w:rsid w:val="00D87F91"/>
    <w:rsid w:val="00D93882"/>
    <w:rsid w:val="00DA02F8"/>
    <w:rsid w:val="00DA0911"/>
    <w:rsid w:val="00DA7478"/>
    <w:rsid w:val="00DA7A02"/>
    <w:rsid w:val="00DA7A84"/>
    <w:rsid w:val="00DB1F4D"/>
    <w:rsid w:val="00DB228F"/>
    <w:rsid w:val="00DB293A"/>
    <w:rsid w:val="00DB4BE2"/>
    <w:rsid w:val="00DC742E"/>
    <w:rsid w:val="00DD6B0B"/>
    <w:rsid w:val="00DE0D35"/>
    <w:rsid w:val="00DE0DDD"/>
    <w:rsid w:val="00DE74BA"/>
    <w:rsid w:val="00DF036F"/>
    <w:rsid w:val="00DF0AF1"/>
    <w:rsid w:val="00DF175C"/>
    <w:rsid w:val="00E04D9E"/>
    <w:rsid w:val="00E2188A"/>
    <w:rsid w:val="00E30AA6"/>
    <w:rsid w:val="00E31997"/>
    <w:rsid w:val="00E324D5"/>
    <w:rsid w:val="00E32B69"/>
    <w:rsid w:val="00E5512A"/>
    <w:rsid w:val="00E62927"/>
    <w:rsid w:val="00E62A80"/>
    <w:rsid w:val="00E650F1"/>
    <w:rsid w:val="00E66E41"/>
    <w:rsid w:val="00E7188D"/>
    <w:rsid w:val="00E73164"/>
    <w:rsid w:val="00E80ECD"/>
    <w:rsid w:val="00E850FF"/>
    <w:rsid w:val="00E854C0"/>
    <w:rsid w:val="00EC16B2"/>
    <w:rsid w:val="00ED4133"/>
    <w:rsid w:val="00ED6F9E"/>
    <w:rsid w:val="00F0240D"/>
    <w:rsid w:val="00F02E7D"/>
    <w:rsid w:val="00F2017A"/>
    <w:rsid w:val="00F60726"/>
    <w:rsid w:val="00F86FA7"/>
    <w:rsid w:val="00F94F9A"/>
    <w:rsid w:val="00FD170E"/>
    <w:rsid w:val="00FD23D9"/>
    <w:rsid w:val="00FE0740"/>
    <w:rsid w:val="010D4F0F"/>
    <w:rsid w:val="03513951"/>
    <w:rsid w:val="039106AD"/>
    <w:rsid w:val="0B6156DD"/>
    <w:rsid w:val="0D8A2ECC"/>
    <w:rsid w:val="125677FF"/>
    <w:rsid w:val="1C343622"/>
    <w:rsid w:val="1C94612C"/>
    <w:rsid w:val="21D004E4"/>
    <w:rsid w:val="22A704DC"/>
    <w:rsid w:val="24B81927"/>
    <w:rsid w:val="24BA4488"/>
    <w:rsid w:val="27DD4DAF"/>
    <w:rsid w:val="2C3558E8"/>
    <w:rsid w:val="39756363"/>
    <w:rsid w:val="3DE93575"/>
    <w:rsid w:val="418E67F7"/>
    <w:rsid w:val="429D3DC1"/>
    <w:rsid w:val="42F70123"/>
    <w:rsid w:val="430A71ED"/>
    <w:rsid w:val="47E735AC"/>
    <w:rsid w:val="47FC7775"/>
    <w:rsid w:val="48BB7853"/>
    <w:rsid w:val="49E813A6"/>
    <w:rsid w:val="4ACB4D0A"/>
    <w:rsid w:val="4C103A3E"/>
    <w:rsid w:val="4D1B1FE5"/>
    <w:rsid w:val="513D5E02"/>
    <w:rsid w:val="514E51A7"/>
    <w:rsid w:val="515371FC"/>
    <w:rsid w:val="51705D83"/>
    <w:rsid w:val="55AF287B"/>
    <w:rsid w:val="5B4C16BE"/>
    <w:rsid w:val="61F70670"/>
    <w:rsid w:val="6229781F"/>
    <w:rsid w:val="62647978"/>
    <w:rsid w:val="631F0F19"/>
    <w:rsid w:val="653C7A29"/>
    <w:rsid w:val="678321B0"/>
    <w:rsid w:val="6E346599"/>
    <w:rsid w:val="713C1E52"/>
    <w:rsid w:val="77755D90"/>
    <w:rsid w:val="7A1A257F"/>
    <w:rsid w:val="7ADC6AEA"/>
    <w:rsid w:val="7F061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3"/>
    <w:basedOn w:val="1"/>
    <w:next w:val="1"/>
    <w:link w:val="21"/>
    <w:qFormat/>
    <w:uiPriority w:val="99"/>
    <w:pPr>
      <w:spacing w:before="100" w:beforeAutospacing="1" w:after="100" w:afterAutospacing="1"/>
      <w:jc w:val="left"/>
      <w:outlineLvl w:val="2"/>
    </w:pPr>
    <w:rPr>
      <w:rFonts w:ascii="宋体" w:hAnsi="宋体" w:cs="宋体"/>
      <w:b/>
      <w:bCs/>
      <w:kern w:val="0"/>
      <w:sz w:val="27"/>
      <w:szCs w:val="27"/>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pPr>
      <w:spacing w:after="120"/>
    </w:pPr>
    <w:rPr>
      <w:rFonts w:ascii="Calibri" w:hAnsi="Calibri"/>
    </w:rPr>
  </w:style>
  <w:style w:type="paragraph" w:styleId="4">
    <w:name w:val="toc 5"/>
    <w:basedOn w:val="1"/>
    <w:next w:val="1"/>
    <w:qFormat/>
    <w:uiPriority w:val="0"/>
    <w:pPr>
      <w:ind w:left="1680"/>
    </w:pPr>
  </w:style>
  <w:style w:type="paragraph" w:styleId="6">
    <w:name w:val="Plain Text"/>
    <w:basedOn w:val="1"/>
    <w:link w:val="17"/>
    <w:qFormat/>
    <w:uiPriority w:val="99"/>
    <w:rPr>
      <w:rFonts w:ascii="宋体" w:hAnsi="Courier New"/>
      <w:kern w:val="0"/>
      <w:sz w:val="20"/>
      <w:szCs w:val="21"/>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semiHidden/>
    <w:unhideWhenUsed/>
    <w:qFormat/>
    <w:uiPriority w:val="99"/>
    <w:rPr>
      <w:color w:val="0000FF"/>
      <w:u w:val="single"/>
    </w:rPr>
  </w:style>
  <w:style w:type="paragraph" w:customStyle="1" w:styleId="13">
    <w:name w:val="正文首行缩进1"/>
    <w:basedOn w:val="3"/>
    <w:qFormat/>
    <w:uiPriority w:val="0"/>
    <w:pPr>
      <w:ind w:firstLine="420" w:firstLineChars="100"/>
    </w:pPr>
    <w:rPr>
      <w:rFonts w:cs="黑体"/>
      <w:szCs w:val="22"/>
    </w:rPr>
  </w:style>
  <w:style w:type="character" w:customStyle="1" w:styleId="14">
    <w:name w:val="页脚 字符"/>
    <w:link w:val="7"/>
    <w:qFormat/>
    <w:uiPriority w:val="99"/>
    <w:rPr>
      <w:kern w:val="2"/>
      <w:sz w:val="18"/>
      <w:szCs w:val="18"/>
    </w:rPr>
  </w:style>
  <w:style w:type="character" w:customStyle="1" w:styleId="15">
    <w:name w:val="bjh-p"/>
    <w:basedOn w:val="11"/>
    <w:qFormat/>
    <w:uiPriority w:val="0"/>
  </w:style>
  <w:style w:type="character" w:customStyle="1" w:styleId="16">
    <w:name w:val="纯文本 字符"/>
    <w:semiHidden/>
    <w:qFormat/>
    <w:uiPriority w:val="99"/>
    <w:rPr>
      <w:rFonts w:ascii="宋体" w:hAnsi="Courier New" w:eastAsia="宋体" w:cs="Courier New"/>
      <w:kern w:val="2"/>
      <w:sz w:val="21"/>
      <w:szCs w:val="24"/>
    </w:rPr>
  </w:style>
  <w:style w:type="character" w:customStyle="1" w:styleId="17">
    <w:name w:val="纯文本 字符1"/>
    <w:link w:val="6"/>
    <w:qFormat/>
    <w:uiPriority w:val="99"/>
    <w:rPr>
      <w:rFonts w:ascii="宋体" w:hAnsi="Courier New"/>
      <w:szCs w:val="21"/>
    </w:rPr>
  </w:style>
  <w:style w:type="character" w:customStyle="1" w:styleId="18">
    <w:name w:val="页眉 字符"/>
    <w:link w:val="8"/>
    <w:qFormat/>
    <w:uiPriority w:val="99"/>
    <w:rPr>
      <w:kern w:val="2"/>
      <w:sz w:val="18"/>
      <w:szCs w:val="18"/>
    </w:rPr>
  </w:style>
  <w:style w:type="paragraph" w:styleId="19">
    <w:name w:val="List Paragraph"/>
    <w:basedOn w:val="1"/>
    <w:qFormat/>
    <w:uiPriority w:val="34"/>
    <w:pPr>
      <w:ind w:firstLine="420" w:firstLineChars="200"/>
    </w:pPr>
  </w:style>
  <w:style w:type="character" w:customStyle="1" w:styleId="20">
    <w:name w:val="NormalCharacter"/>
    <w:semiHidden/>
    <w:qFormat/>
    <w:uiPriority w:val="0"/>
  </w:style>
  <w:style w:type="character" w:customStyle="1" w:styleId="21">
    <w:name w:val="标题 3 字符"/>
    <w:basedOn w:val="11"/>
    <w:link w:val="5"/>
    <w:qFormat/>
    <w:uiPriority w:val="99"/>
    <w:rPr>
      <w:rFonts w:ascii="宋体" w:hAnsi="宋体" w:cs="宋体"/>
      <w:b/>
      <w:bCs/>
      <w:sz w:val="27"/>
      <w:szCs w:val="27"/>
    </w:rPr>
  </w:style>
  <w:style w:type="character" w:customStyle="1" w:styleId="22">
    <w:name w:val="15"/>
    <w:basedOn w:val="11"/>
    <w:qFormat/>
    <w:uiPriority w:val="0"/>
    <w:rPr>
      <w:rFonts w:hint="eastAsia" w:ascii="等线" w:hAnsi="等线" w:eastAsia="等线"/>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398</Words>
  <Characters>2272</Characters>
  <Lines>18</Lines>
  <Paragraphs>5</Paragraphs>
  <TotalTime>5</TotalTime>
  <ScaleCrop>false</ScaleCrop>
  <LinksUpToDate>false</LinksUpToDate>
  <CharactersWithSpaces>2665</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2024-12-27T03:10:00Z</dcterms:created>
  <dc:creator>lenove</dc:creator>
  <cp:lastModifiedBy>user</cp:lastModifiedBy>
  <cp:lastPrinted>2024-12-27T03:12:00Z</cp:lastPrinted>
  <dcterms:modified xsi:type="dcterms:W3CDTF">2026-01-06T02:38:15Z</dcterms:modified>
  <dc:title>Windows 用户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DDD88E8CC8C7425E843EF4567420D357</vt:lpwstr>
  </property>
</Properties>
</file>