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7A0FD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67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371D802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11"/>
        <w:tblW w:w="9195" w:type="dxa"/>
        <w:tblInd w:w="-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2977"/>
        <w:gridCol w:w="1276"/>
        <w:gridCol w:w="2913"/>
      </w:tblGrid>
      <w:tr w14:paraId="49178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5BABA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目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FEAC2">
            <w:pPr>
              <w:keepNext w:val="0"/>
              <w:keepLines w:val="0"/>
              <w:pageBreakBefore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>探索文商旅新质模式发展，激活文脉融城脉</w:t>
            </w:r>
          </w:p>
        </w:tc>
      </w:tr>
      <w:tr w14:paraId="22E59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64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案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者</w:t>
            </w:r>
          </w:p>
          <w:p w14:paraId="43F03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（括号内注明主笔人）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3BDAE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区政协工商组</w:t>
            </w:r>
          </w:p>
          <w:p w14:paraId="0D879F21"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(王锦荣)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1D0E3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36CE9"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欧懿婷</w:t>
            </w:r>
          </w:p>
        </w:tc>
      </w:tr>
      <w:tr w14:paraId="28DB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6ED93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15F90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广州番禺电缆集团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26710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8AEE2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区政协常委、</w:t>
            </w:r>
          </w:p>
          <w:p w14:paraId="00FCA5D2">
            <w:pPr>
              <w:spacing w:line="68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董事长</w:t>
            </w:r>
          </w:p>
        </w:tc>
      </w:tr>
      <w:tr w14:paraId="52DC6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2CEDA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FFA93"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2AEC4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28"/>
                <w:sz w:val="32"/>
                <w:szCs w:val="32"/>
              </w:rPr>
              <w:t>办公电话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E33F9"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 w14:paraId="11D52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2E13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B3278">
            <w:pPr>
              <w:spacing w:line="680" w:lineRule="exact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 w14:paraId="2DB53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4F71B"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9E4B67">
            <w:pPr>
              <w:spacing w:line="68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王锦荣、刘美雨、孟辉、梁志远、莫谋勇、巴图、罗伟刚、解璧莹、陈伟垣委员工作室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,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区政协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南村镇工作室</w:t>
            </w:r>
          </w:p>
        </w:tc>
      </w:tr>
      <w:tr w14:paraId="65F60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A34B7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6E232F05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00BA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同意立案</w:t>
            </w:r>
          </w:p>
        </w:tc>
      </w:tr>
    </w:tbl>
    <w:p w14:paraId="2D158275"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 w14:paraId="4E54BCA2"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 w14:paraId="6F52B2D1">
      <w:pPr>
        <w:spacing w:line="44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ascii="宋体" w:hAnsi="宋体"/>
          <w:sz w:val="30"/>
          <w:szCs w:val="30"/>
        </w:rPr>
        <w:br w:type="page"/>
      </w:r>
    </w:p>
    <w:p w14:paraId="0A0F0C62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60" w:lineRule="exact"/>
        <w:ind w:left="0" w:firstLine="0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</w:p>
    <w:p w14:paraId="382821C7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eastAsia="zh-CN"/>
        </w:rPr>
        <w:t>理由：</w:t>
      </w:r>
    </w:p>
    <w:p w14:paraId="4CD43F08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一、提案背景</w:t>
      </w:r>
    </w:p>
    <w:p w14:paraId="6992A1C4"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番禺区自秦代设县至今已有2200多年的历史，人文与经济相互交融，相得益彰。岭南建筑、岭南画派、粤剧曲艺、广东音乐等广府文化以及鳌鱼舞、飘色、乞巧、醒狮等民间艺术源远流长。然而，当前番禺区文商旅发展面临挑战，传统思维束缚其发展潜力，导致“墙里开花墙外香”的现象。经济是城市的体格，人文是城市的灵魂，番禺区的文商旅发展亟待进一步融通文脉，与现代科技融合，形成新质模式发展，为商业脉络注入“文韵滋养”。</w:t>
      </w:r>
    </w:p>
    <w:p w14:paraId="7E4ECACB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文商旅现状分析</w:t>
      </w:r>
    </w:p>
    <w:p w14:paraId="257FB75C">
      <w:pPr>
        <w:keepNext w:val="0"/>
        <w:keepLines w:val="0"/>
        <w:pageBreakBefore w:val="0"/>
        <w:widowControl w:val="0"/>
        <w:numPr>
          <w:ilvl w:val="-1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Style w:val="13"/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shd w:val="clear" w:fill="FFFFFF"/>
          <w:lang w:val="en-US" w:eastAsia="zh-CN"/>
        </w:rPr>
        <w:t>（一）番禺区文化产业规模及成效</w:t>
      </w:r>
    </w:p>
    <w:p w14:paraId="19F7DE2C">
      <w:pPr>
        <w:keepNext w:val="0"/>
        <w:keepLines w:val="0"/>
        <w:pageBreakBefore w:val="0"/>
        <w:widowControl w:val="0"/>
        <w:numPr>
          <w:ilvl w:val="-1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shd w:val="clear" w:fill="FFFFFF"/>
          <w:lang w:val="en-US" w:eastAsia="zh-CN"/>
        </w:rPr>
        <w:t>在2200多年前的秦代的珠江口、狮子洋畔，番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禺区向海而生，依海而进，拥海而新。番禺区作为第二批国家文化出口基地，有国家A级旅游景区10家、市级以上文化产业示范园区11个。2024年上半年，全区规模以上文化及相关产业企业共300家，实现营业收入125.51亿元，同比增长17.7%。</w:t>
      </w:r>
    </w:p>
    <w:p w14:paraId="0C119EE0">
      <w:pPr>
        <w:keepNext w:val="0"/>
        <w:keepLines w:val="0"/>
        <w:pageBreakBefore w:val="0"/>
        <w:widowControl w:val="0"/>
        <w:numPr>
          <w:ilvl w:val="-1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Style w:val="13"/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shd w:val="clear" w:fill="FFFFFF"/>
          <w:lang w:val="en-US" w:eastAsia="zh-CN"/>
        </w:rPr>
        <w:t>（二）番禺区文化相关产业政策支持</w:t>
      </w:r>
    </w:p>
    <w:p w14:paraId="6C81DF79">
      <w:pPr>
        <w:keepNext w:val="0"/>
        <w:keepLines w:val="0"/>
        <w:pageBreakBefore w:val="0"/>
        <w:widowControl w:val="0"/>
        <w:numPr>
          <w:ilvl w:val="-1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2024年2月制定印发《番禺区“文旅体一证通”行政审批改革试点工作实施方案》，不断深化全区文旅体“放管服”改革，不断培育壮大文旅体产业新业态，推动文旅体市场繁荣发展；同年4月印发《广州市番禺区推动时尚产业高质量发展行动方案》，夯锚定“五个再造”千亿矩阵，着力将时尚产业打造为番禺区第二个千亿级产业集群。</w:t>
      </w:r>
    </w:p>
    <w:p w14:paraId="4D35090C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</w:rPr>
        <w:t>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文商旅发展存在问题</w:t>
      </w:r>
    </w:p>
    <w:p w14:paraId="7179135C">
      <w:pPr>
        <w:keepNext w:val="0"/>
        <w:keepLines w:val="0"/>
        <w:pageBreakBefore w:val="0"/>
        <w:widowControl/>
        <w:numPr>
          <w:ilvl w:val="-1"/>
          <w:numId w:val="0"/>
        </w:numPr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Style w:val="13"/>
          <w:rFonts w:hint="default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问题一：</w:t>
      </w:r>
      <w:r>
        <w:rPr>
          <w:rStyle w:val="13"/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shd w:val="clear" w:fill="FFFFFF"/>
          <w:lang w:val="en-US" w:eastAsia="zh-CN"/>
        </w:rPr>
        <w:t>新生态下的传统桎梏</w:t>
      </w:r>
    </w:p>
    <w:p w14:paraId="52EB950B">
      <w:pPr>
        <w:keepNext w:val="0"/>
        <w:keepLines w:val="0"/>
        <w:pageBreakBefore w:val="0"/>
        <w:widowControl/>
        <w:numPr>
          <w:ilvl w:val="-1"/>
          <w:numId w:val="0"/>
        </w:numPr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shd w:val="clear" w:fill="FFFFFF"/>
          <w:lang w:val="en-US" w:eastAsia="zh-CN"/>
        </w:rPr>
        <w:t>番禺作为岭南文化的主体——广府文化发源地，理当以打造广府文化标志性聚集地为己任。然而广府文化一直面临形象老化、内容陈旧、传承乏力、不为时尚主流所容，不受新生代人群欢迎的局面。其原因主要有二：一方面，现代文化与广府文化融合衔接不足，二者之间存在显著的断层与疏离。另一方面，广府文化相关的文创产品开发滞后，缺乏创意与设计感，难以吸引新生代消费者的目光，无法形成有力的文化经济增长点。</w:t>
      </w:r>
    </w:p>
    <w:p w14:paraId="77A07A62">
      <w:pPr>
        <w:keepNext w:val="0"/>
        <w:keepLines w:val="0"/>
        <w:pageBreakBefore w:val="0"/>
        <w:widowControl/>
        <w:numPr>
          <w:ilvl w:val="-1"/>
          <w:numId w:val="0"/>
        </w:numPr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shd w:val="clear" w:fill="FFFFFF"/>
          <w:lang w:val="en-US" w:eastAsia="zh-CN"/>
        </w:rPr>
        <w:t>问题二：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广府文化缺破茧之力</w:t>
      </w:r>
    </w:p>
    <w:p w14:paraId="2AA82228">
      <w:pPr>
        <w:keepNext w:val="0"/>
        <w:keepLines w:val="0"/>
        <w:pageBreakBefore w:val="0"/>
        <w:widowControl/>
        <w:numPr>
          <w:ilvl w:val="-1"/>
          <w:numId w:val="0"/>
        </w:numPr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shd w:val="clear" w:fill="FFFFFF"/>
          <w:lang w:val="en-US" w:eastAsia="zh-CN"/>
        </w:rPr>
        <w:t>番禺拥有为数众多的世界级、国家级、地区级消费产业品牌，如汽车、服装、珠宝、灯光音响、动漫和游戏设备等。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它们已然蜚声中外，是本地文化的重要组成部分。但作为产业文化却难现其盛况。政府应着力改变这种“墙里开花墙外香”的局面，让它们成为本地产业文化的风景线。</w:t>
      </w:r>
    </w:p>
    <w:p w14:paraId="762D3CE4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Style w:val="13"/>
          <w:rFonts w:hint="default" w:ascii="仿宋_GB2312" w:hAnsi="仿宋_GB2312" w:eastAsia="仿宋_GB2312" w:cs="仿宋_GB2312"/>
          <w:b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shd w:val="clear" w:fill="FFFFFF"/>
          <w:lang w:val="en-US" w:eastAsia="zh-CN"/>
        </w:rPr>
        <w:t>问题三：商圈发展不复往日活力</w:t>
      </w:r>
    </w:p>
    <w:p w14:paraId="2F03FDF5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</w:pPr>
      <w:r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在番禺文商旅发展进程中，呈现出多面的现状景象。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万博商圈在番禺区已具规模，国庆节期间客流量达256.9万人次、营业额1.18亿元，设施与品牌建设成果显著，但带动周边协同不足。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昔日热闹的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易发商圈有底蕴与区位优势，发展却差强人意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其问题包括业态老化，以传统零售为主；品牌更新慢，缺乏竞争力；设施环境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落实、</w:t>
      </w:r>
      <w:r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停车难、</w:t>
      </w:r>
      <w:r>
        <w:rPr>
          <w:rStyle w:val="13"/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购物</w:t>
      </w:r>
      <w:r>
        <w:rPr>
          <w:rStyle w:val="13"/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shd w:val="clear" w:fill="FFFFFF"/>
          <w:lang w:val="en-US" w:eastAsia="zh-CN"/>
        </w:rPr>
        <w:t>体验不佳；营销推广弱，未善用新媒体与创新策略。</w:t>
      </w:r>
    </w:p>
    <w:p w14:paraId="1AC3E701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</w:p>
    <w:p w14:paraId="084B1280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  <w:rPr>
          <w:rFonts w:hint="default" w:ascii="黑体" w:hAnsi="黑体" w:eastAsia="黑体" w:cs="黑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spacing w:val="0"/>
          <w:sz w:val="32"/>
          <w:szCs w:val="32"/>
          <w:shd w:val="clear" w:color="auto" w:fill="auto"/>
          <w:lang w:val="en-US" w:eastAsia="zh-CN"/>
        </w:rPr>
        <w:t>办法：</w:t>
      </w:r>
    </w:p>
    <w:p w14:paraId="18772F3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建议一：广府文化创新与个性塑造</w:t>
      </w:r>
    </w:p>
    <w:p w14:paraId="1D5D9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议政府在实施大力倡导传统文化复兴的国家战略规划中，特别强调“广府文化创新工程”，具体措施包括：引导时尚创意等现代服务与龙舟、醒狮等传统广府文化元素对接，实现其现代化转变。促进新技术、新场景等与广府文化深度融合，带来新颖呈现形式。同时，紧密联系新生代生活与兴趣，创造新的体验和消费场景，推动新生代与传统文化交融。在宣传推广上，借助抖音短片、微电影等新媒体平台，联合社交媒体达人进行宣传，提升广府文化全国影响力。政府还可投入资金打造文化IP，通过造景、造节，提供一站式文化体验，并借助“红人”运营持续提升热度。在产业发展层面，政府应利用政策、投资等手段，将文商旅一体化产业纳入番禺区重点产业链。推进早期岭南探源及“双创”工程，活化利用广府文化，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让广府文化实现 “近悦远来”的繁荣景象。</w:t>
      </w:r>
    </w:p>
    <w:p w14:paraId="4533A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建议二：积极引导本土品牌升级成为“产地文化名片”</w:t>
      </w:r>
    </w:p>
    <w:p w14:paraId="7C046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大力倡导本地消费品牌在番禺设立展示空间，无论是营利性还是非营利性，都应鼓励其进入公共空间、商业区及文化设施，并对非营利性展示提供税收减免、资金支持及舆论引导等激励措施；同时，促进本地品牌与广府文化创新的深度融合，为文化创新注入新内容、新空间和新样式，实现时尚产业与传统文化的和谐共生；此外，加强本地品牌与群众性活动的关联，如节庆、文化、娱乐、体育、休闲等，使其更加贴近民众生活，激发民众的自豪感和亲切感；最后，配合国家拉动消费政策，加大对本地民众消费本地品牌行为的补贴力度。这些举措将有助于打造一批具有鲜明本地特色的文化名片，为产业发展提供坚实支撑，并与广府文化创新形成良性互动。</w:t>
      </w:r>
    </w:p>
    <w:p w14:paraId="59394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建议三：打造现代化文商旅消费新名片</w:t>
      </w:r>
    </w:p>
    <w:p w14:paraId="4BF1E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Style w:val="13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聚焦老城区优势产业，给予更新改造和新建项目充分政策支持、资金支持、舆论支持，将其深度转化为</w:t>
      </w:r>
      <w:bookmarkStart w:id="0" w:name="_GoBack"/>
      <w:bookmarkEnd w:id="0"/>
      <w:r>
        <w:rPr>
          <w:rStyle w:val="13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文化名片，并进一步塑造为城市新消费名片。以市桥的黄金商圈易发街为例，深入挖掘其作为知名家电音响交易商圈文化底蕴，整合番禺宾馆等文化资源与商业业态，重塑“CITY WALK”步行街区；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以万博为核心，开通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专线公交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增强商圈联系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两个商圈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联合整合商家资源，制定促销计划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构建共享会员体系，为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番禺区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商圈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新质模式发展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</w:rPr>
        <w:t>升级添彩。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fill="FFFFFF"/>
          <w:lang w:val="en-US" w:eastAsia="zh-CN"/>
        </w:rPr>
        <w:t>充分利用地标性商圈这一平台举办丰富多样的活动，全方位展现广府文化精髓，匠心打造商圈与广府文化深度融合的独特IP，实现文化与商业的交相辉映、协同发展。</w:t>
      </w:r>
    </w:p>
    <w:p w14:paraId="19694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Style w:val="13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番禺区应持续锚定“岭南水乡 粤韵乐乡”文化建设，深入挖掘历史文化底蕴，创造性转化，创新性发展。通过文商旅融合发展，融通千年文脉与现代经济，激发创新发展活力，汇聚起番禺高质量发展的强大动能，营造“近悦远来”的营商环境。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CC620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F72DBF"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F72DBF"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705C8"/>
    <w:rsid w:val="08D4468A"/>
    <w:rsid w:val="090B1FF3"/>
    <w:rsid w:val="09CF7C83"/>
    <w:rsid w:val="0FD25DC6"/>
    <w:rsid w:val="104B4477"/>
    <w:rsid w:val="10591EE1"/>
    <w:rsid w:val="115A19CF"/>
    <w:rsid w:val="126705C8"/>
    <w:rsid w:val="19BA1D82"/>
    <w:rsid w:val="22DE4344"/>
    <w:rsid w:val="238115CF"/>
    <w:rsid w:val="258864A1"/>
    <w:rsid w:val="25FF505F"/>
    <w:rsid w:val="2C84446C"/>
    <w:rsid w:val="2E696013"/>
    <w:rsid w:val="30C453D8"/>
    <w:rsid w:val="36717B7A"/>
    <w:rsid w:val="387B69BA"/>
    <w:rsid w:val="3BF707BD"/>
    <w:rsid w:val="3E655796"/>
    <w:rsid w:val="3EB6450B"/>
    <w:rsid w:val="3FFB3F79"/>
    <w:rsid w:val="40EF78AD"/>
    <w:rsid w:val="419317FB"/>
    <w:rsid w:val="41DC2EFE"/>
    <w:rsid w:val="43734A31"/>
    <w:rsid w:val="46AF0DF1"/>
    <w:rsid w:val="4DF27705"/>
    <w:rsid w:val="50D43A3A"/>
    <w:rsid w:val="569C19BD"/>
    <w:rsid w:val="56AD20B7"/>
    <w:rsid w:val="5C2C458F"/>
    <w:rsid w:val="5CB63B07"/>
    <w:rsid w:val="5EEC4C45"/>
    <w:rsid w:val="63481713"/>
    <w:rsid w:val="644C7452"/>
    <w:rsid w:val="66B45A48"/>
    <w:rsid w:val="695811C5"/>
    <w:rsid w:val="6A634F0C"/>
    <w:rsid w:val="6D064CEC"/>
    <w:rsid w:val="70F33FDC"/>
    <w:rsid w:val="77ED630F"/>
    <w:rsid w:val="7C2300B7"/>
    <w:rsid w:val="7FDC7C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rPr>
      <w:rFonts w:ascii="Calibri" w:hAnsi="Calibri" w:eastAsia="仿宋_GB2312"/>
      <w:sz w:val="32"/>
      <w:szCs w:val="20"/>
    </w:rPr>
  </w:style>
  <w:style w:type="paragraph" w:styleId="5">
    <w:name w:val="toc 5"/>
    <w:basedOn w:val="1"/>
    <w:next w:val="1"/>
    <w:qFormat/>
    <w:uiPriority w:val="0"/>
    <w:pPr>
      <w:ind w:left="16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4"/>
    <w:qFormat/>
    <w:uiPriority w:val="0"/>
    <w:pPr>
      <w:ind w:firstLine="420" w:firstLineChars="100"/>
    </w:pPr>
    <w:rPr>
      <w:rFonts w:ascii="Calibri" w:hAnsi="Calibri" w:cs="Times New Roman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styleId="15">
    <w:name w:val="footnote reference"/>
    <w:basedOn w:val="12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区政协</Company>
  <Pages>6</Pages>
  <Words>3160</Words>
  <Characters>3226</Characters>
  <Lines>0</Lines>
  <Paragraphs>0</Paragraphs>
  <TotalTime>1</TotalTime>
  <ScaleCrop>false</ScaleCrop>
  <LinksUpToDate>false</LinksUpToDate>
  <CharactersWithSpaces>3245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2023-12-12T01:52:00Z</dcterms:created>
  <dc:creator>Administrator</dc:creator>
  <cp:lastModifiedBy>user</cp:lastModifiedBy>
  <dcterms:modified xsi:type="dcterms:W3CDTF">2026-01-06T03:14:29Z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1B3F616068564262815216E4B3D1A77D_13</vt:lpwstr>
  </property>
  <property fmtid="{D5CDD505-2E9C-101B-9397-08002B2CF9AE}" pid="4" name="KSOTemplateDocerSaveRecord">
    <vt:lpwstr>eyJoZGlkIjoiODIyZThlNmUwMDBhNjQ2NjlhZjdhMDg1Yzk2NGRkNmIiLCJ1c2VySWQiOiIxNTc2MDk1MTUwIn0=</vt:lpwstr>
  </property>
</Properties>
</file>