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C0573E">
      <w:pPr>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71</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号</w:t>
      </w:r>
    </w:p>
    <w:p w14:paraId="37ECA3BA">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番禺区政协十</w:t>
      </w:r>
      <w:r>
        <w:rPr>
          <w:rFonts w:hint="eastAsia" w:ascii="方正小标宋_GBK" w:hAnsi="方正小标宋_GBK" w:eastAsia="方正小标宋_GBK" w:cs="方正小标宋_GBK"/>
          <w:sz w:val="44"/>
          <w:szCs w:val="44"/>
          <w:lang w:eastAsia="zh-CN"/>
        </w:rPr>
        <w:t>五</w:t>
      </w:r>
      <w:r>
        <w:rPr>
          <w:rFonts w:hint="eastAsia" w:ascii="方正小标宋_GBK" w:hAnsi="方正小标宋_GBK" w:eastAsia="方正小标宋_GBK" w:cs="方正小标宋_GBK"/>
          <w:sz w:val="44"/>
          <w:szCs w:val="44"/>
        </w:rPr>
        <w:t>届</w:t>
      </w:r>
      <w:r>
        <w:rPr>
          <w:rFonts w:hint="eastAsia" w:ascii="方正小标宋_GBK" w:hAnsi="方正小标宋_GBK" w:eastAsia="方正小标宋_GBK" w:cs="方正小标宋_GBK"/>
          <w:sz w:val="44"/>
          <w:szCs w:val="44"/>
          <w:lang w:eastAsia="zh-CN"/>
        </w:rPr>
        <w:t>五</w:t>
      </w:r>
      <w:r>
        <w:rPr>
          <w:rFonts w:hint="eastAsia" w:ascii="方正小标宋_GBK" w:hAnsi="方正小标宋_GBK" w:eastAsia="方正小标宋_GBK" w:cs="方正小标宋_GBK"/>
          <w:sz w:val="44"/>
          <w:szCs w:val="44"/>
        </w:rPr>
        <w:t>次会议提案</w:t>
      </w:r>
    </w:p>
    <w:tbl>
      <w:tblPr>
        <w:tblStyle w:val="12"/>
        <w:tblW w:w="9195" w:type="dxa"/>
        <w:tblInd w:w="-7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9"/>
        <w:gridCol w:w="2977"/>
        <w:gridCol w:w="1276"/>
        <w:gridCol w:w="2913"/>
      </w:tblGrid>
      <w:tr w14:paraId="18A58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trPr>
        <w:tc>
          <w:tcPr>
            <w:tcW w:w="2029" w:type="dxa"/>
            <w:tcBorders>
              <w:top w:val="single" w:color="auto" w:sz="4" w:space="0"/>
              <w:left w:val="single" w:color="auto" w:sz="4" w:space="0"/>
              <w:bottom w:val="single" w:color="auto" w:sz="4" w:space="0"/>
              <w:right w:val="single" w:color="auto" w:sz="4" w:space="0"/>
            </w:tcBorders>
            <w:noWrap w:val="0"/>
            <w:vAlign w:val="center"/>
          </w:tcPr>
          <w:p w14:paraId="2B76AC68">
            <w:pPr>
              <w:spacing w:line="680" w:lineRule="exact"/>
              <w:jc w:val="center"/>
              <w:rPr>
                <w:rFonts w:ascii="仿宋_GB2312" w:hAnsi="宋体" w:eastAsia="仿宋_GB2312"/>
                <w:sz w:val="32"/>
                <w:szCs w:val="32"/>
              </w:rPr>
            </w:pPr>
            <w:r>
              <w:rPr>
                <w:rFonts w:hint="eastAsia" w:ascii="仿宋_GB2312" w:hAnsi="宋体" w:eastAsia="仿宋_GB2312"/>
                <w:sz w:val="32"/>
                <w:szCs w:val="32"/>
              </w:rPr>
              <w:t>题</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目</w:t>
            </w:r>
          </w:p>
        </w:tc>
        <w:tc>
          <w:tcPr>
            <w:tcW w:w="7166" w:type="dxa"/>
            <w:gridSpan w:val="3"/>
            <w:tcBorders>
              <w:top w:val="single" w:color="auto" w:sz="4" w:space="0"/>
              <w:left w:val="single" w:color="auto" w:sz="4" w:space="0"/>
              <w:bottom w:val="single" w:color="auto" w:sz="4" w:space="0"/>
              <w:right w:val="single" w:color="auto" w:sz="4" w:space="0"/>
            </w:tcBorders>
            <w:noWrap w:val="0"/>
            <w:vAlign w:val="center"/>
          </w:tcPr>
          <w:p w14:paraId="631D882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建设现代科技馆体系 推动科普高质量发展</w:t>
            </w:r>
          </w:p>
        </w:tc>
      </w:tr>
      <w:tr w14:paraId="12496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0" w:hRule="atLeast"/>
        </w:trPr>
        <w:tc>
          <w:tcPr>
            <w:tcW w:w="2029" w:type="dxa"/>
            <w:tcBorders>
              <w:top w:val="single" w:color="auto" w:sz="4" w:space="0"/>
              <w:left w:val="single" w:color="auto" w:sz="4" w:space="0"/>
              <w:right w:val="single" w:color="auto" w:sz="4" w:space="0"/>
            </w:tcBorders>
            <w:noWrap w:val="0"/>
            <w:vAlign w:val="center"/>
          </w:tcPr>
          <w:p w14:paraId="5244814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sz w:val="32"/>
                <w:szCs w:val="32"/>
              </w:rPr>
            </w:pPr>
            <w:r>
              <w:rPr>
                <w:rFonts w:hint="eastAsia" w:ascii="仿宋_GB2312" w:hAnsi="宋体" w:eastAsia="仿宋_GB2312"/>
                <w:sz w:val="32"/>
                <w:szCs w:val="32"/>
              </w:rPr>
              <w:t>提</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案</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者</w:t>
            </w:r>
          </w:p>
          <w:p w14:paraId="2A25CE0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仿宋_GB2312"/>
                <w:lang w:eastAsia="zh-CN"/>
              </w:rPr>
            </w:pPr>
            <w:r>
              <w:rPr>
                <w:rFonts w:hint="eastAsia" w:ascii="仿宋_GB2312" w:hAnsi="宋体" w:eastAsia="仿宋_GB2312"/>
                <w:sz w:val="28"/>
                <w:szCs w:val="28"/>
                <w:lang w:val="en-US" w:eastAsia="zh-CN"/>
              </w:rPr>
              <w:t>（括号内注明主笔人）</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770D849">
            <w:pPr>
              <w:spacing w:line="680" w:lineRule="exact"/>
              <w:jc w:val="center"/>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科技组（郑莉）</w:t>
            </w:r>
          </w:p>
        </w:tc>
        <w:tc>
          <w:tcPr>
            <w:tcW w:w="1276" w:type="dxa"/>
            <w:tcBorders>
              <w:top w:val="single" w:color="auto" w:sz="4" w:space="0"/>
              <w:left w:val="single" w:color="auto" w:sz="4" w:space="0"/>
              <w:right w:val="single" w:color="auto" w:sz="4" w:space="0"/>
            </w:tcBorders>
            <w:noWrap w:val="0"/>
            <w:vAlign w:val="center"/>
          </w:tcPr>
          <w:p w14:paraId="01AB6D70">
            <w:pPr>
              <w:spacing w:line="680" w:lineRule="exact"/>
              <w:jc w:val="center"/>
              <w:rPr>
                <w:rFonts w:ascii="仿宋_GB2312" w:hAnsi="宋体" w:eastAsia="仿宋_GB2312"/>
                <w:sz w:val="32"/>
                <w:szCs w:val="32"/>
              </w:rPr>
            </w:pPr>
            <w:r>
              <w:rPr>
                <w:rFonts w:hint="eastAsia" w:ascii="仿宋_GB2312" w:hAnsi="宋体" w:eastAsia="仿宋_GB2312"/>
                <w:sz w:val="32"/>
                <w:szCs w:val="32"/>
              </w:rPr>
              <w:t>联系人</w:t>
            </w:r>
          </w:p>
        </w:tc>
        <w:tc>
          <w:tcPr>
            <w:tcW w:w="2913" w:type="dxa"/>
            <w:tcBorders>
              <w:top w:val="single" w:color="auto" w:sz="4" w:space="0"/>
              <w:left w:val="single" w:color="auto" w:sz="4" w:space="0"/>
              <w:right w:val="single" w:color="auto" w:sz="4" w:space="0"/>
            </w:tcBorders>
            <w:noWrap w:val="0"/>
            <w:vAlign w:val="center"/>
          </w:tcPr>
          <w:p w14:paraId="3A0AB94D">
            <w:pPr>
              <w:spacing w:line="680" w:lineRule="exact"/>
              <w:jc w:val="center"/>
              <w:rPr>
                <w:rFonts w:ascii="仿宋_GB2312" w:hAnsi="宋体" w:eastAsia="仿宋_GB2312"/>
                <w:sz w:val="32"/>
                <w:szCs w:val="32"/>
              </w:rPr>
            </w:pPr>
            <w:r>
              <w:rPr>
                <w:rFonts w:hint="eastAsia" w:ascii="仿宋_GB2312" w:hAnsi="宋体" w:eastAsia="仿宋_GB2312"/>
                <w:sz w:val="32"/>
                <w:szCs w:val="32"/>
                <w:lang w:val="en-US" w:eastAsia="zh-CN"/>
              </w:rPr>
              <w:t>郑莉</w:t>
            </w:r>
          </w:p>
        </w:tc>
      </w:tr>
      <w:tr w14:paraId="02C4D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9" w:type="dxa"/>
            <w:tcBorders>
              <w:top w:val="single" w:color="auto" w:sz="4" w:space="0"/>
              <w:left w:val="single" w:color="auto" w:sz="4" w:space="0"/>
              <w:bottom w:val="single" w:color="auto" w:sz="4" w:space="0"/>
              <w:right w:val="single" w:color="auto" w:sz="4" w:space="0"/>
            </w:tcBorders>
            <w:noWrap w:val="0"/>
            <w:vAlign w:val="center"/>
          </w:tcPr>
          <w:p w14:paraId="086AE246">
            <w:pPr>
              <w:spacing w:line="680" w:lineRule="exact"/>
              <w:jc w:val="center"/>
              <w:rPr>
                <w:rFonts w:ascii="仿宋_GB2312" w:hAnsi="宋体" w:eastAsia="仿宋_GB2312"/>
                <w:sz w:val="32"/>
                <w:szCs w:val="32"/>
              </w:rPr>
            </w:pPr>
            <w:r>
              <w:rPr>
                <w:rFonts w:hint="eastAsia" w:ascii="仿宋_GB2312" w:hAnsi="宋体" w:eastAsia="仿宋_GB2312"/>
                <w:sz w:val="32"/>
                <w:szCs w:val="32"/>
              </w:rPr>
              <w:t>工作单位</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4A96A8EE">
            <w:pPr>
              <w:spacing w:line="680" w:lineRule="exact"/>
              <w:jc w:val="center"/>
              <w:rPr>
                <w:rFonts w:ascii="仿宋_GB2312" w:hAnsi="宋体" w:eastAsia="仿宋_GB2312"/>
                <w:sz w:val="32"/>
                <w:szCs w:val="32"/>
              </w:rPr>
            </w:pPr>
            <w:r>
              <w:rPr>
                <w:rFonts w:hint="eastAsia" w:ascii="仿宋_GB2312" w:hAnsi="宋体" w:eastAsia="仿宋_GB2312"/>
                <w:sz w:val="32"/>
                <w:szCs w:val="32"/>
              </w:rPr>
              <w:t>区科协</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33501AB9">
            <w:pPr>
              <w:spacing w:line="680" w:lineRule="exact"/>
              <w:jc w:val="center"/>
              <w:rPr>
                <w:rFonts w:ascii="仿宋_GB2312" w:hAnsi="宋体" w:eastAsia="仿宋_GB2312"/>
                <w:sz w:val="32"/>
                <w:szCs w:val="32"/>
              </w:rPr>
            </w:pPr>
            <w:r>
              <w:rPr>
                <w:rFonts w:hint="eastAsia" w:ascii="仿宋_GB2312" w:hAnsi="宋体" w:eastAsia="仿宋_GB2312"/>
                <w:sz w:val="32"/>
                <w:szCs w:val="32"/>
              </w:rPr>
              <w:t>职</w:t>
            </w:r>
            <w:r>
              <w:rPr>
                <w:rFonts w:ascii="仿宋_GB2312" w:hAnsi="宋体" w:eastAsia="仿宋_GB2312"/>
                <w:sz w:val="32"/>
                <w:szCs w:val="32"/>
              </w:rPr>
              <w:t xml:space="preserve">  </w:t>
            </w:r>
            <w:r>
              <w:rPr>
                <w:rFonts w:hint="eastAsia" w:ascii="仿宋_GB2312" w:hAnsi="宋体" w:eastAsia="仿宋_GB2312"/>
                <w:sz w:val="32"/>
                <w:szCs w:val="32"/>
              </w:rPr>
              <w:t>务</w:t>
            </w:r>
          </w:p>
        </w:tc>
        <w:tc>
          <w:tcPr>
            <w:tcW w:w="2913" w:type="dxa"/>
            <w:tcBorders>
              <w:top w:val="single" w:color="auto" w:sz="4" w:space="0"/>
              <w:left w:val="single" w:color="auto" w:sz="4" w:space="0"/>
              <w:bottom w:val="single" w:color="auto" w:sz="4" w:space="0"/>
              <w:right w:val="single" w:color="auto" w:sz="4" w:space="0"/>
            </w:tcBorders>
            <w:noWrap w:val="0"/>
            <w:vAlign w:val="center"/>
          </w:tcPr>
          <w:p w14:paraId="4ADC4CB8">
            <w:pPr>
              <w:spacing w:line="680" w:lineRule="exact"/>
              <w:jc w:val="center"/>
              <w:rPr>
                <w:rFonts w:ascii="仿宋_GB2312" w:hAnsi="宋体" w:eastAsia="仿宋_GB2312"/>
                <w:sz w:val="32"/>
                <w:szCs w:val="32"/>
              </w:rPr>
            </w:pPr>
            <w:r>
              <w:rPr>
                <w:rFonts w:hint="eastAsia" w:ascii="仿宋_GB2312" w:hAnsi="宋体" w:eastAsia="仿宋_GB2312"/>
                <w:sz w:val="32"/>
                <w:szCs w:val="32"/>
              </w:rPr>
              <w:t>副主席</w:t>
            </w:r>
          </w:p>
        </w:tc>
      </w:tr>
      <w:tr w14:paraId="7EA35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9" w:type="dxa"/>
            <w:tcBorders>
              <w:top w:val="single" w:color="auto" w:sz="4" w:space="0"/>
              <w:left w:val="single" w:color="auto" w:sz="4" w:space="0"/>
              <w:bottom w:val="single" w:color="auto" w:sz="4" w:space="0"/>
              <w:right w:val="single" w:color="auto" w:sz="4" w:space="0"/>
            </w:tcBorders>
            <w:noWrap w:val="0"/>
            <w:vAlign w:val="center"/>
          </w:tcPr>
          <w:p w14:paraId="390E70FE">
            <w:pPr>
              <w:spacing w:line="680" w:lineRule="exact"/>
              <w:jc w:val="center"/>
              <w:rPr>
                <w:rFonts w:ascii="仿宋_GB2312" w:hAnsi="宋体" w:eastAsia="仿宋_GB2312"/>
                <w:sz w:val="32"/>
                <w:szCs w:val="32"/>
              </w:rPr>
            </w:pPr>
            <w:r>
              <w:rPr>
                <w:rFonts w:hint="eastAsia" w:ascii="仿宋_GB2312" w:hAnsi="宋体" w:eastAsia="仿宋_GB2312"/>
                <w:sz w:val="32"/>
                <w:szCs w:val="32"/>
              </w:rPr>
              <w:t>手机号码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DAF8500">
            <w:pPr>
              <w:spacing w:line="680" w:lineRule="exact"/>
              <w:jc w:val="center"/>
              <w:rPr>
                <w:rFonts w:hint="default" w:ascii="仿宋_GB2312" w:hAnsi="宋体" w:eastAsia="仿宋_GB2312"/>
                <w:sz w:val="32"/>
                <w:szCs w:val="32"/>
                <w:lang w:val="en-US" w:eastAsia="zh-CN"/>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29DFAF4">
            <w:pPr>
              <w:spacing w:line="680" w:lineRule="exact"/>
              <w:jc w:val="center"/>
              <w:rPr>
                <w:rFonts w:ascii="仿宋_GB2312" w:hAnsi="宋体" w:eastAsia="仿宋_GB2312"/>
                <w:sz w:val="32"/>
                <w:szCs w:val="32"/>
              </w:rPr>
            </w:pPr>
            <w:r>
              <w:rPr>
                <w:rFonts w:hint="eastAsia" w:ascii="仿宋_GB2312" w:hAnsi="宋体" w:eastAsia="仿宋_GB2312"/>
                <w:spacing w:val="-28"/>
                <w:sz w:val="32"/>
                <w:szCs w:val="32"/>
              </w:rPr>
              <w:t>办公电话</w:t>
            </w:r>
          </w:p>
        </w:tc>
        <w:tc>
          <w:tcPr>
            <w:tcW w:w="2913" w:type="dxa"/>
            <w:tcBorders>
              <w:top w:val="single" w:color="auto" w:sz="4" w:space="0"/>
              <w:left w:val="single" w:color="auto" w:sz="4" w:space="0"/>
              <w:bottom w:val="single" w:color="auto" w:sz="4" w:space="0"/>
              <w:right w:val="single" w:color="auto" w:sz="4" w:space="0"/>
            </w:tcBorders>
            <w:noWrap w:val="0"/>
            <w:vAlign w:val="center"/>
          </w:tcPr>
          <w:p w14:paraId="5F56D6D6">
            <w:pPr>
              <w:spacing w:line="680" w:lineRule="exact"/>
              <w:jc w:val="center"/>
              <w:rPr>
                <w:rFonts w:hint="default" w:ascii="仿宋_GB2312" w:hAnsi="宋体" w:eastAsia="仿宋_GB2312"/>
                <w:sz w:val="32"/>
                <w:szCs w:val="32"/>
                <w:lang w:val="en-US" w:eastAsia="zh-CN"/>
              </w:rPr>
            </w:pPr>
          </w:p>
        </w:tc>
      </w:tr>
      <w:tr w14:paraId="3E63A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9" w:type="dxa"/>
            <w:tcBorders>
              <w:top w:val="single" w:color="auto" w:sz="4" w:space="0"/>
              <w:left w:val="single" w:color="auto" w:sz="4" w:space="0"/>
              <w:bottom w:val="single" w:color="auto" w:sz="4" w:space="0"/>
              <w:right w:val="single" w:color="auto" w:sz="4" w:space="0"/>
            </w:tcBorders>
            <w:noWrap w:val="0"/>
            <w:vAlign w:val="center"/>
          </w:tcPr>
          <w:p w14:paraId="0B6A6FB8">
            <w:pPr>
              <w:spacing w:line="680" w:lineRule="exact"/>
              <w:jc w:val="center"/>
              <w:rPr>
                <w:rFonts w:ascii="仿宋_GB2312" w:hAnsi="宋体" w:eastAsia="仿宋_GB2312"/>
                <w:sz w:val="32"/>
                <w:szCs w:val="32"/>
              </w:rPr>
            </w:pPr>
            <w:r>
              <w:rPr>
                <w:rFonts w:hint="eastAsia" w:ascii="仿宋_GB2312" w:hAnsi="宋体" w:eastAsia="仿宋_GB2312"/>
                <w:sz w:val="32"/>
                <w:szCs w:val="32"/>
              </w:rPr>
              <w:t>通讯地址</w:t>
            </w:r>
          </w:p>
        </w:tc>
        <w:tc>
          <w:tcPr>
            <w:tcW w:w="7166" w:type="dxa"/>
            <w:gridSpan w:val="3"/>
            <w:tcBorders>
              <w:top w:val="single" w:color="auto" w:sz="4" w:space="0"/>
              <w:left w:val="single" w:color="auto" w:sz="4" w:space="0"/>
              <w:bottom w:val="single" w:color="auto" w:sz="4" w:space="0"/>
              <w:right w:val="single" w:color="auto" w:sz="4" w:space="0"/>
            </w:tcBorders>
            <w:noWrap w:val="0"/>
            <w:vAlign w:val="center"/>
          </w:tcPr>
          <w:p w14:paraId="7F5F20BA">
            <w:pPr>
              <w:spacing w:line="680" w:lineRule="exact"/>
              <w:jc w:val="center"/>
              <w:rPr>
                <w:rFonts w:ascii="仿宋_GB2312" w:hAnsi="宋体" w:eastAsia="仿宋_GB2312"/>
                <w:sz w:val="32"/>
                <w:szCs w:val="32"/>
              </w:rPr>
            </w:pPr>
          </w:p>
        </w:tc>
      </w:tr>
      <w:tr w14:paraId="505C9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5" w:hRule="atLeast"/>
        </w:trPr>
        <w:tc>
          <w:tcPr>
            <w:tcW w:w="2029" w:type="dxa"/>
            <w:tcBorders>
              <w:top w:val="single" w:color="auto" w:sz="4" w:space="0"/>
              <w:left w:val="single" w:color="auto" w:sz="4" w:space="0"/>
              <w:bottom w:val="single" w:color="auto" w:sz="4" w:space="0"/>
              <w:right w:val="single" w:color="auto" w:sz="4" w:space="0"/>
            </w:tcBorders>
            <w:noWrap w:val="0"/>
            <w:vAlign w:val="center"/>
          </w:tcPr>
          <w:p w14:paraId="4CEE6EE8">
            <w:pPr>
              <w:spacing w:line="680" w:lineRule="exact"/>
              <w:jc w:val="center"/>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联名提案人</w:t>
            </w:r>
          </w:p>
        </w:tc>
        <w:tc>
          <w:tcPr>
            <w:tcW w:w="7166" w:type="dxa"/>
            <w:gridSpan w:val="3"/>
            <w:tcBorders>
              <w:top w:val="single" w:color="auto" w:sz="4" w:space="0"/>
              <w:left w:val="single" w:color="auto" w:sz="4" w:space="0"/>
              <w:bottom w:val="single" w:color="auto" w:sz="4" w:space="0"/>
              <w:right w:val="single" w:color="auto" w:sz="4" w:space="0"/>
            </w:tcBorders>
            <w:noWrap w:val="0"/>
            <w:vAlign w:val="center"/>
          </w:tcPr>
          <w:p w14:paraId="479F03C5">
            <w:pPr>
              <w:spacing w:line="680" w:lineRule="exact"/>
              <w:jc w:val="both"/>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刘炜</w:t>
            </w:r>
          </w:p>
        </w:tc>
      </w:tr>
      <w:tr w14:paraId="49F17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9" w:type="dxa"/>
            <w:tcBorders>
              <w:top w:val="single" w:color="auto" w:sz="4" w:space="0"/>
              <w:left w:val="single" w:color="auto" w:sz="4" w:space="0"/>
              <w:bottom w:val="single" w:color="auto" w:sz="4" w:space="0"/>
              <w:right w:val="single" w:color="auto" w:sz="4" w:space="0"/>
            </w:tcBorders>
            <w:noWrap w:val="0"/>
            <w:vAlign w:val="center"/>
          </w:tcPr>
          <w:p w14:paraId="7E21743A">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提案委员会</w:t>
            </w:r>
          </w:p>
          <w:p w14:paraId="24D4A234">
            <w:pPr>
              <w:spacing w:line="680" w:lineRule="exact"/>
              <w:jc w:val="center"/>
              <w:rPr>
                <w:rFonts w:ascii="仿宋_GB2312" w:hAnsi="宋体" w:eastAsia="仿宋_GB2312"/>
                <w:sz w:val="32"/>
                <w:szCs w:val="32"/>
              </w:rPr>
            </w:pPr>
            <w:r>
              <w:rPr>
                <w:rFonts w:hint="eastAsia" w:ascii="仿宋_GB2312" w:hAnsi="宋体" w:eastAsia="仿宋_GB2312"/>
                <w:sz w:val="32"/>
                <w:szCs w:val="32"/>
              </w:rPr>
              <w:t>审查意见</w:t>
            </w:r>
          </w:p>
        </w:tc>
        <w:tc>
          <w:tcPr>
            <w:tcW w:w="7166" w:type="dxa"/>
            <w:gridSpan w:val="3"/>
            <w:tcBorders>
              <w:top w:val="single" w:color="auto" w:sz="4" w:space="0"/>
              <w:left w:val="single" w:color="auto" w:sz="4" w:space="0"/>
              <w:bottom w:val="single" w:color="auto" w:sz="4" w:space="0"/>
              <w:right w:val="single" w:color="auto" w:sz="4" w:space="0"/>
            </w:tcBorders>
            <w:noWrap w:val="0"/>
            <w:vAlign w:val="center"/>
          </w:tcPr>
          <w:p w14:paraId="5798E3C2">
            <w:pPr>
              <w:spacing w:line="680" w:lineRule="exact"/>
              <w:jc w:val="center"/>
              <w:rPr>
                <w:rFonts w:ascii="仿宋_GB2312" w:hAnsi="宋体" w:eastAsia="仿宋_GB2312"/>
                <w:sz w:val="32"/>
                <w:szCs w:val="32"/>
              </w:rPr>
            </w:pPr>
            <w:r>
              <w:rPr>
                <w:rFonts w:hint="eastAsia" w:ascii="仿宋_GB2312" w:hAnsi="宋体" w:eastAsia="仿宋_GB2312"/>
                <w:sz w:val="32"/>
                <w:szCs w:val="32"/>
                <w:lang w:val="en-US" w:eastAsia="zh-CN"/>
              </w:rPr>
              <w:t>同意立案</w:t>
            </w:r>
          </w:p>
        </w:tc>
      </w:tr>
    </w:tbl>
    <w:p w14:paraId="36520A10">
      <w:pPr>
        <w:spacing w:line="560" w:lineRule="exact"/>
        <w:rPr>
          <w:rFonts w:hint="eastAsia" w:ascii="仿宋" w:hAnsi="仿宋" w:eastAsia="仿宋"/>
          <w:sz w:val="32"/>
          <w:szCs w:val="32"/>
          <w:lang w:val="en-US" w:eastAsia="zh-CN"/>
        </w:rPr>
      </w:pPr>
      <w:r>
        <w:rPr>
          <w:rFonts w:hint="eastAsia" w:ascii="黑体" w:hAnsi="黑体" w:eastAsia="黑体"/>
          <w:sz w:val="32"/>
          <w:szCs w:val="32"/>
        </w:rPr>
        <w:t>根据实际情况在</w:t>
      </w:r>
      <w:r>
        <w:rPr>
          <w:rFonts w:hint="eastAsia" w:ascii="黑体" w:hAnsi="黑体" w:eastAsia="黑体"/>
          <w:sz w:val="32"/>
          <w:szCs w:val="32"/>
          <w:lang w:eastAsia="zh-CN"/>
        </w:rPr>
        <w:t>（）</w:t>
      </w:r>
      <w:r>
        <w:rPr>
          <w:rFonts w:hint="eastAsia" w:ascii="黑体" w:hAnsi="黑体" w:eastAsia="黑体"/>
          <w:sz w:val="32"/>
          <w:szCs w:val="32"/>
        </w:rPr>
        <w:t>内打勾确认：</w:t>
      </w:r>
    </w:p>
    <w:p w14:paraId="45F96E36">
      <w:pPr>
        <w:spacing w:line="440" w:lineRule="exact"/>
        <w:rPr>
          <w:rFonts w:ascii="宋体" w:hAnsi="宋体"/>
          <w:b/>
          <w:sz w:val="30"/>
          <w:szCs w:val="30"/>
        </w:rPr>
      </w:pPr>
      <w:r>
        <w:rPr>
          <w:rFonts w:hint="eastAsia" w:ascii="宋体" w:hAnsi="宋体"/>
          <w:b/>
          <w:sz w:val="30"/>
          <w:szCs w:val="30"/>
          <w:lang w:eastAsia="zh-CN"/>
        </w:rPr>
        <w:t>是否同意公开</w:t>
      </w:r>
      <w:r>
        <w:rPr>
          <w:rFonts w:hint="eastAsia" w:ascii="宋体" w:hAnsi="宋体"/>
          <w:b/>
          <w:sz w:val="30"/>
          <w:szCs w:val="30"/>
        </w:rPr>
        <w:t>：</w:t>
      </w:r>
    </w:p>
    <w:p w14:paraId="39EF983F">
      <w:pPr>
        <w:spacing w:line="440" w:lineRule="exact"/>
        <w:rPr>
          <w:rFonts w:hint="eastAsia" w:ascii="黑体" w:hAnsi="黑体" w:eastAsia="黑体"/>
          <w:b/>
          <w:sz w:val="32"/>
          <w:szCs w:val="32"/>
        </w:rPr>
      </w:pPr>
      <w:r>
        <w:rPr>
          <w:rFonts w:hint="eastAsia" w:ascii="宋体" w:hAnsi="宋体"/>
          <w:sz w:val="30"/>
          <w:szCs w:val="30"/>
          <w:lang w:eastAsia="zh-CN"/>
        </w:rPr>
        <w:t>是（</w:t>
      </w:r>
      <w:r>
        <w:rPr>
          <w:rFonts w:hint="eastAsia" w:ascii="宋体" w:hAnsi="宋体"/>
          <w:sz w:val="30"/>
          <w:szCs w:val="30"/>
          <w:lang w:val="en-US" w:eastAsia="zh-CN"/>
        </w:rPr>
        <w:t>√</w:t>
      </w:r>
      <w:r>
        <w:rPr>
          <w:rFonts w:hint="eastAsia" w:ascii="宋体" w:hAnsi="宋体"/>
          <w:sz w:val="30"/>
          <w:szCs w:val="30"/>
          <w:lang w:eastAsia="zh-CN"/>
        </w:rPr>
        <w:t>）</w:t>
      </w:r>
      <w:r>
        <w:rPr>
          <w:rFonts w:ascii="宋体" w:hAnsi="宋体"/>
          <w:sz w:val="30"/>
          <w:szCs w:val="30"/>
        </w:rPr>
        <w:t xml:space="preserve">  </w:t>
      </w:r>
      <w:r>
        <w:rPr>
          <w:rFonts w:hint="eastAsia" w:ascii="宋体" w:hAnsi="宋体"/>
          <w:sz w:val="30"/>
          <w:szCs w:val="30"/>
          <w:lang w:eastAsia="zh-CN"/>
        </w:rPr>
        <w:t>否（）</w:t>
      </w:r>
      <w:r>
        <w:rPr>
          <w:rFonts w:ascii="宋体" w:hAnsi="宋体"/>
          <w:sz w:val="30"/>
          <w:szCs w:val="30"/>
        </w:rPr>
        <w:t xml:space="preserve"> </w:t>
      </w:r>
    </w:p>
    <w:p w14:paraId="1FE9E5EF">
      <w:pPr>
        <w:pStyle w:val="10"/>
        <w:keepNext w:val="0"/>
        <w:keepLines w:val="0"/>
        <w:pageBreakBefore w:val="0"/>
        <w:widowControl/>
        <w:kinsoku/>
        <w:wordWrap/>
        <w:overflowPunct/>
        <w:topLinePunct w:val="0"/>
        <w:autoSpaceDE/>
        <w:autoSpaceDN/>
        <w:bidi w:val="0"/>
        <w:adjustRightInd/>
        <w:snapToGrid/>
        <w:spacing w:beforeAutospacing="0" w:afterAutospacing="0" w:line="560" w:lineRule="exact"/>
        <w:textAlignment w:val="auto"/>
        <w:rPr>
          <w:rFonts w:hint="eastAsia" w:ascii="黑体" w:hAnsi="黑体" w:eastAsia="黑体"/>
          <w:b/>
          <w:sz w:val="32"/>
          <w:szCs w:val="32"/>
          <w:lang w:eastAsia="zh-CN"/>
        </w:rPr>
      </w:pPr>
    </w:p>
    <w:p w14:paraId="340BF91D">
      <w:pPr>
        <w:rPr>
          <w:rFonts w:hint="eastAsia" w:ascii="黑体" w:hAnsi="黑体" w:eastAsia="黑体"/>
          <w:b/>
          <w:sz w:val="32"/>
          <w:szCs w:val="32"/>
          <w:lang w:eastAsia="zh-CN"/>
        </w:rPr>
      </w:pPr>
      <w:r>
        <w:rPr>
          <w:rFonts w:hint="eastAsia" w:ascii="黑体" w:hAnsi="黑体" w:eastAsia="黑体"/>
          <w:b/>
          <w:sz w:val="32"/>
          <w:szCs w:val="32"/>
          <w:lang w:eastAsia="zh-CN"/>
        </w:rPr>
        <w:br w:type="page"/>
      </w:r>
    </w:p>
    <w:p w14:paraId="05A386D0">
      <w:pPr>
        <w:pStyle w:val="10"/>
        <w:keepNext w:val="0"/>
        <w:keepLines w:val="0"/>
        <w:pageBreakBefore w:val="0"/>
        <w:widowControl/>
        <w:kinsoku/>
        <w:wordWrap/>
        <w:overflowPunct/>
        <w:topLinePunct w:val="0"/>
        <w:autoSpaceDE/>
        <w:autoSpaceDN/>
        <w:bidi w:val="0"/>
        <w:adjustRightInd/>
        <w:snapToGrid/>
        <w:spacing w:beforeAutospacing="0" w:afterAutospacing="0" w:line="560" w:lineRule="exact"/>
        <w:textAlignment w:val="auto"/>
        <w:rPr>
          <w:rFonts w:hint="eastAsia" w:ascii="黑体" w:hAnsi="黑体" w:eastAsia="黑体"/>
          <w:b/>
          <w:sz w:val="32"/>
          <w:szCs w:val="32"/>
          <w:lang w:eastAsia="zh-CN"/>
        </w:rPr>
      </w:pPr>
      <w:r>
        <w:rPr>
          <w:rFonts w:hint="eastAsia" w:ascii="黑体" w:hAnsi="黑体" w:eastAsia="黑体"/>
          <w:b/>
          <w:sz w:val="32"/>
          <w:szCs w:val="32"/>
          <w:lang w:eastAsia="zh-CN"/>
        </w:rPr>
        <w:t>理由：</w:t>
      </w:r>
    </w:p>
    <w:p w14:paraId="32B739DC">
      <w:pPr>
        <w:pStyle w:val="10"/>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60" w:lineRule="exact"/>
        <w:ind w:left="0" w:right="0" w:firstLine="640" w:firstLineChars="200"/>
        <w:jc w:val="both"/>
        <w:textAlignment w:val="auto"/>
        <w:rPr>
          <w:rFonts w:hint="eastAsia" w:ascii="黑体" w:hAnsi="黑体" w:eastAsia="黑体" w:cs="Times New Roman"/>
          <w:color w:val="auto"/>
          <w:sz w:val="32"/>
          <w:szCs w:val="32"/>
          <w:lang w:val="en-US" w:eastAsia="zh-CN"/>
        </w:rPr>
      </w:pPr>
      <w:r>
        <w:rPr>
          <w:rFonts w:hint="eastAsia" w:ascii="黑体" w:hAnsi="黑体" w:eastAsia="黑体" w:cs="Times New Roman"/>
          <w:color w:val="auto"/>
          <w:sz w:val="32"/>
          <w:szCs w:val="32"/>
          <w:lang w:val="en-US" w:eastAsia="zh-CN"/>
        </w:rPr>
        <w:t>背景意义</w:t>
      </w:r>
    </w:p>
    <w:p w14:paraId="5BFDD157">
      <w:pPr>
        <w:pStyle w:val="10"/>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60" w:lineRule="exact"/>
        <w:ind w:right="0" w:rightChars="0" w:firstLine="640" w:firstLineChars="200"/>
        <w:jc w:val="both"/>
        <w:textAlignment w:val="auto"/>
        <w:rPr>
          <w:rFonts w:hint="eastAsia" w:ascii="仿宋_GB2312" w:eastAsia="仿宋_GB2312" w:cs="Times New Roman"/>
          <w:color w:val="auto"/>
          <w:kern w:val="2"/>
          <w:sz w:val="32"/>
          <w:szCs w:val="32"/>
          <w:lang w:val="en-US" w:eastAsia="zh-CN" w:bidi="ar-SA"/>
        </w:rPr>
      </w:pPr>
      <w:r>
        <w:rPr>
          <w:rFonts w:hint="eastAsia" w:ascii="仿宋_GB2312" w:eastAsia="仿宋_GB2312" w:cs="Times New Roman"/>
          <w:color w:val="auto"/>
          <w:kern w:val="2"/>
          <w:sz w:val="32"/>
          <w:szCs w:val="32"/>
          <w:lang w:val="en-US" w:eastAsia="zh-CN" w:bidi="ar-SA"/>
        </w:rPr>
        <w:t>习近平总书记指出:“科技创新、科学普及是实现创新发展的两翼，要把科学普及放在与科技创新同等重要的位置。没有全民科学素质普遍提高，就难以建立起宏大的高素质创新大军，难以实现科技成果快速转化。”这一重要指示精神是新发展阶段科普和科学素质建设高质量发展的根本遵循。</w:t>
      </w:r>
    </w:p>
    <w:p w14:paraId="4F08D8A8">
      <w:pPr>
        <w:pStyle w:val="10"/>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60" w:lineRule="exact"/>
        <w:ind w:right="0" w:rightChars="0" w:firstLine="640" w:firstLineChars="200"/>
        <w:jc w:val="both"/>
        <w:textAlignment w:val="auto"/>
        <w:rPr>
          <w:rFonts w:hint="eastAsia" w:ascii="仿宋_GB2312" w:eastAsia="仿宋_GB2312" w:cs="Times New Roman" w:hAnsiTheme="minorHAnsi"/>
          <w:color w:val="auto"/>
          <w:kern w:val="2"/>
          <w:sz w:val="32"/>
          <w:szCs w:val="32"/>
          <w:lang w:val="en-US" w:eastAsia="zh-CN" w:bidi="ar-SA"/>
        </w:rPr>
      </w:pPr>
      <w:r>
        <w:rPr>
          <w:rFonts w:hint="eastAsia" w:ascii="仿宋_GB2312" w:eastAsia="仿宋_GB2312" w:cs="Times New Roman"/>
          <w:color w:val="auto"/>
          <w:kern w:val="2"/>
          <w:sz w:val="32"/>
          <w:szCs w:val="32"/>
          <w:lang w:val="en-US" w:eastAsia="zh-CN" w:bidi="ar-SA"/>
        </w:rPr>
        <w:t>近年来，国家有关部门多次下发文件、召开会议，强调科技馆建设的重要性。在《中华人民共和国科普法》《全民科学素质行动计划纲要》以及国务院《关于进一步加强和改进未成年人校外活动场所建设和管理工作的意见》等文件中，都对科技馆建设提出了明确要求，指出了区域经济社会发展离不开群众科技文化素质的提高，营造科学生产、文明生活的社会环境离不开科技馆教育。群众特别是青少年对科技文化生活尤其渴望，加快科普设施建设尤其是科技馆建设势在必行。科技馆的建立，对青少年学生素质的全面发展，具有十分重要的意义和深远的影响。</w:t>
      </w:r>
    </w:p>
    <w:p w14:paraId="20F92AA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60" w:lineRule="exact"/>
        <w:ind w:left="0" w:right="0" w:firstLine="640" w:firstLineChars="200"/>
        <w:jc w:val="both"/>
        <w:textAlignment w:val="auto"/>
        <w:rPr>
          <w:rFonts w:hint="eastAsia" w:ascii="仿宋_GB2312" w:eastAsia="仿宋_GB2312" w:cs="Times New Roman"/>
          <w:color w:val="auto"/>
          <w:sz w:val="32"/>
          <w:szCs w:val="32"/>
          <w:lang w:val="en-US" w:eastAsia="zh-CN"/>
        </w:rPr>
      </w:pPr>
      <w:r>
        <w:rPr>
          <w:rFonts w:hint="eastAsia" w:ascii="黑体" w:hAnsi="黑体" w:eastAsia="黑体" w:cs="Times New Roman"/>
          <w:color w:val="auto"/>
          <w:sz w:val="32"/>
          <w:szCs w:val="32"/>
          <w:lang w:val="en-US" w:eastAsia="zh-CN"/>
        </w:rPr>
        <w:t>二、现存问题</w:t>
      </w:r>
    </w:p>
    <w:p w14:paraId="1DCC6E41">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jc w:val="both"/>
        <w:textAlignment w:val="auto"/>
        <w:rPr>
          <w:rFonts w:hint="eastAsia" w:ascii="仿宋_GB2312" w:eastAsia="仿宋_GB2312" w:cs="Times New Roman"/>
          <w:color w:val="auto"/>
          <w:sz w:val="32"/>
          <w:szCs w:val="32"/>
          <w:lang w:val="en-US" w:eastAsia="zh-CN"/>
        </w:rPr>
      </w:pPr>
      <w:r>
        <w:rPr>
          <w:rFonts w:hint="eastAsia" w:ascii="仿宋_GB2312" w:eastAsia="仿宋_GB2312" w:cs="Times New Roman"/>
          <w:color w:val="auto"/>
          <w:sz w:val="32"/>
          <w:szCs w:val="32"/>
          <w:lang w:val="en-US" w:eastAsia="zh-CN"/>
        </w:rPr>
        <w:t>公民科学素养调查显示，番禺区公民具备科学素养的比例呈稳步上升态势，但相较于北京、上海、深圳等发达地区仍有差距。番禺区内民众对于科学知识的深度理解与批判性思维培养方面有待加强，对于科学探究实践和科技认知等方面仍存在短板。</w:t>
      </w:r>
    </w:p>
    <w:p w14:paraId="1459C5E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40"/>
          <w:lang w:val="en-US" w:eastAsia="zh-CN"/>
        </w:rPr>
      </w:pPr>
      <w:r>
        <w:rPr>
          <w:rFonts w:hint="eastAsia" w:ascii="楷体_GB2312" w:hAnsi="楷体_GB2312" w:eastAsia="楷体_GB2312" w:cs="楷体_GB2312"/>
          <w:color w:val="auto"/>
          <w:sz w:val="32"/>
          <w:szCs w:val="40"/>
          <w:lang w:val="en-US" w:eastAsia="zh-CN"/>
        </w:rPr>
        <w:t>（一）科技馆数量与布局不合理</w:t>
      </w:r>
    </w:p>
    <w:p w14:paraId="7927730E">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eastAsia="仿宋_GB2312" w:cs="Times New Roman"/>
          <w:color w:val="auto"/>
          <w:sz w:val="32"/>
          <w:szCs w:val="32"/>
          <w:lang w:val="en-US" w:eastAsia="zh-CN"/>
        </w:rPr>
      </w:pPr>
      <w:r>
        <w:rPr>
          <w:rFonts w:hint="eastAsia" w:ascii="仿宋_GB2312" w:eastAsia="仿宋_GB2312" w:cs="Times New Roman"/>
          <w:color w:val="auto"/>
          <w:sz w:val="32"/>
          <w:szCs w:val="32"/>
          <w:lang w:val="en-US" w:eastAsia="zh-CN"/>
        </w:rPr>
        <w:t>番禺区目前仅有少数科普场馆，且分布不均，主要集中在中心城区，其他镇街的科普场馆比较匮乏。这导致部分地区的居民难以便捷地获取科普资源，限制了科普工作的全面覆盖。与周边地区相比，番禺区的科技馆数量和规模明显不足，无法满足日益增长的人口对科普服务的需求。例如，相邻的南</w:t>
      </w:r>
      <w:r>
        <w:rPr>
          <w:rFonts w:hint="eastAsia" w:ascii="仿宋_GB2312" w:eastAsia="仿宋_GB2312" w:cs="Times New Roman"/>
          <w:color w:val="auto"/>
          <w:sz w:val="32"/>
          <w:szCs w:val="32"/>
          <w:lang w:val="en-US" w:eastAsia="zh-CN" w:bidi="ar"/>
        </w:rPr>
        <w:t>沙区拥有南沙科学展览馆、广州隧道博物馆、广汽科技馆，以及黄埔区拥有开发区科技馆、</w:t>
      </w:r>
      <w:bookmarkStart w:id="0" w:name="OLE_LINK3"/>
      <w:r>
        <w:rPr>
          <w:rFonts w:hint="eastAsia" w:ascii="仿宋_GB2312" w:eastAsia="仿宋_GB2312" w:cs="Times New Roman" w:hAnsiTheme="minorHAnsi"/>
          <w:i w:val="0"/>
          <w:caps w:val="0"/>
          <w:color w:val="111111"/>
          <w:spacing w:val="0"/>
          <w:kern w:val="2"/>
          <w:sz w:val="32"/>
          <w:szCs w:val="32"/>
          <w:shd w:val="clear" w:fill="auto"/>
          <w:lang w:val="en-US" w:eastAsia="zh-CN" w:bidi="ar"/>
        </w:rPr>
        <w:t>广东省凉茶博物馆</w:t>
      </w:r>
      <w:bookmarkEnd w:id="0"/>
      <w:r>
        <w:rPr>
          <w:rFonts w:hint="eastAsia" w:ascii="仿宋_GB2312" w:eastAsia="仿宋_GB2312" w:cs="Times New Roman" w:hAnsiTheme="minorHAnsi"/>
          <w:i w:val="0"/>
          <w:caps w:val="0"/>
          <w:color w:val="111111"/>
          <w:spacing w:val="0"/>
          <w:kern w:val="2"/>
          <w:sz w:val="32"/>
          <w:szCs w:val="32"/>
          <w:shd w:val="clear" w:fill="auto"/>
          <w:lang w:val="en-US" w:eastAsia="zh-CN" w:bidi="ar"/>
        </w:rPr>
        <w:t>、广州气象卫星地面站、广州海事博物馆等</w:t>
      </w:r>
      <w:r>
        <w:rPr>
          <w:rFonts w:hint="eastAsia" w:ascii="仿宋_GB2312" w:eastAsia="仿宋_GB2312" w:cs="Times New Roman"/>
          <w:color w:val="auto"/>
          <w:sz w:val="32"/>
          <w:szCs w:val="32"/>
          <w:lang w:val="en-US" w:eastAsia="zh-CN"/>
        </w:rPr>
        <w:t>多个主题科技馆，涵盖了天文、地理、科技等多个领域，而番禺区在这方面的差距较为明显。</w:t>
      </w:r>
    </w:p>
    <w:p w14:paraId="02F536F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40"/>
          <w:lang w:val="en-US" w:eastAsia="zh-CN"/>
        </w:rPr>
      </w:pPr>
      <w:r>
        <w:rPr>
          <w:rFonts w:hint="eastAsia" w:ascii="楷体_GB2312" w:hAnsi="楷体_GB2312" w:eastAsia="楷体_GB2312" w:cs="楷体_GB2312"/>
          <w:color w:val="auto"/>
          <w:sz w:val="32"/>
          <w:szCs w:val="40"/>
          <w:lang w:val="en-US" w:eastAsia="zh-CN"/>
        </w:rPr>
        <w:t>（二）科普内容与形式缺乏创新</w:t>
      </w:r>
    </w:p>
    <w:p w14:paraId="0826E362">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jc w:val="both"/>
        <w:textAlignment w:val="auto"/>
        <w:rPr>
          <w:rFonts w:hint="eastAsia" w:ascii="仿宋_GB2312" w:eastAsia="仿宋_GB2312" w:cs="Times New Roman"/>
          <w:color w:val="auto"/>
          <w:sz w:val="32"/>
          <w:szCs w:val="32"/>
          <w:lang w:val="en-US" w:eastAsia="zh-CN"/>
        </w:rPr>
      </w:pPr>
      <w:r>
        <w:rPr>
          <w:rFonts w:hint="eastAsia" w:ascii="仿宋_GB2312" w:eastAsia="仿宋_GB2312" w:cs="Times New Roman"/>
          <w:color w:val="auto"/>
          <w:sz w:val="32"/>
          <w:szCs w:val="32"/>
          <w:lang w:val="en-US" w:eastAsia="zh-CN"/>
        </w:rPr>
        <w:t>现有科普场馆的展览内容陈旧，多以基础科学知识为主，对新兴科技和前沿研究成果的展示较少。科普形式也较为单一，主要依赖静态展示和简单讲解，缺乏互动性和体验性。例如，部分科普场馆的展品多年未更新，展示方式也较为传统，难以吸引观众的注意力，尤其是对青少年群体的吸引力不足。这种缺乏创新的科普内容和形式，使得科普活动的参与度和影响力大打折扣。</w:t>
      </w:r>
    </w:p>
    <w:p w14:paraId="47F0D92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40"/>
          <w:lang w:val="en-US" w:eastAsia="zh-CN"/>
        </w:rPr>
      </w:pPr>
      <w:r>
        <w:rPr>
          <w:rFonts w:hint="eastAsia" w:ascii="楷体_GB2312" w:hAnsi="楷体_GB2312" w:eastAsia="楷体_GB2312" w:cs="楷体_GB2312"/>
          <w:color w:val="auto"/>
          <w:sz w:val="32"/>
          <w:szCs w:val="40"/>
          <w:lang w:val="en-US" w:eastAsia="zh-CN"/>
        </w:rPr>
        <w:t>（三）科技馆与科研机构、企业合作不足</w:t>
      </w:r>
    </w:p>
    <w:p w14:paraId="772301B3">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jc w:val="both"/>
        <w:textAlignment w:val="auto"/>
        <w:rPr>
          <w:rFonts w:hint="eastAsia" w:ascii="仿宋_GB2312" w:eastAsia="仿宋_GB2312" w:cs="Times New Roman"/>
          <w:color w:val="auto"/>
          <w:sz w:val="32"/>
          <w:szCs w:val="32"/>
          <w:lang w:val="en-US" w:eastAsia="zh-CN"/>
        </w:rPr>
      </w:pPr>
      <w:r>
        <w:rPr>
          <w:rFonts w:hint="eastAsia" w:ascii="仿宋_GB2312" w:eastAsia="仿宋_GB2312" w:cs="Times New Roman"/>
          <w:color w:val="auto"/>
          <w:sz w:val="32"/>
          <w:szCs w:val="32"/>
          <w:lang w:val="en-US" w:eastAsia="zh-CN"/>
        </w:rPr>
        <w:t>番禺区内科研机构和企业众多，拥有丰富的科研成果和技术资源，但科技馆与这些机构之间的合作机制尚未建立健全。双方之间缺乏有效的沟通渠道和合作平台，导致科研成果难以转化为科普资源，企业的技术优势也未能在科普工作中得到充分发挥。例如，番禺区的一些汽车制造企业在新能源汽车研发方面取得了重大突破，但这些成果未能及时通过科技馆向公众展示，造成了科普资源的浪费。</w:t>
      </w:r>
    </w:p>
    <w:p w14:paraId="5D2A90C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40"/>
          <w:lang w:val="en-US" w:eastAsia="zh-CN"/>
        </w:rPr>
      </w:pPr>
      <w:r>
        <w:rPr>
          <w:rFonts w:hint="eastAsia" w:ascii="楷体_GB2312" w:hAnsi="楷体_GB2312" w:eastAsia="楷体_GB2312" w:cs="楷体_GB2312"/>
          <w:color w:val="auto"/>
          <w:sz w:val="32"/>
          <w:szCs w:val="40"/>
          <w:lang w:val="en-US" w:eastAsia="zh-CN"/>
        </w:rPr>
        <w:t>（四）科普人才队伍建设滞后</w:t>
      </w:r>
    </w:p>
    <w:p w14:paraId="7821A4B2">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jc w:val="both"/>
        <w:textAlignment w:val="auto"/>
        <w:rPr>
          <w:rFonts w:hint="eastAsia" w:ascii="仿宋_GB2312" w:eastAsia="仿宋_GB2312" w:cs="Times New Roman"/>
          <w:color w:val="auto"/>
          <w:sz w:val="32"/>
          <w:szCs w:val="32"/>
          <w:lang w:val="en-US" w:eastAsia="zh-CN"/>
        </w:rPr>
      </w:pPr>
      <w:r>
        <w:rPr>
          <w:rFonts w:hint="eastAsia" w:ascii="仿宋_GB2312" w:eastAsia="仿宋_GB2312" w:cs="Times New Roman"/>
          <w:color w:val="auto"/>
          <w:sz w:val="32"/>
          <w:szCs w:val="32"/>
          <w:lang w:val="en-US" w:eastAsia="zh-CN"/>
        </w:rPr>
        <w:t>科普人才是推动科普事业发展的关键力量，但目前番禺区的科普人才队伍存在数量不足、专业素质不高、结构不合理等问题。一方面，科普专业人才短缺，尤其是既懂科学知识又具备科普创作、科普教育能力的复合型人才匮乏；另一方面，现有科普人员的培训体系不完善，缺乏系统的专业培训和知识更新，难以适应科普工作的新形势和新要求。这在一定程度上制约了科普工作的质量和效果。</w:t>
      </w:r>
    </w:p>
    <w:p w14:paraId="76F208DA">
      <w:pPr>
        <w:keepNext w:val="0"/>
        <w:keepLines w:val="0"/>
        <w:pageBreakBefore w:val="0"/>
        <w:widowControl w:val="0"/>
        <w:numPr>
          <w:ilvl w:val="0"/>
          <w:numId w:val="0"/>
        </w:numPr>
        <w:kinsoku/>
        <w:wordWrap/>
        <w:overflowPunct/>
        <w:topLinePunct w:val="0"/>
        <w:autoSpaceDE/>
        <w:autoSpaceDN/>
        <w:bidi w:val="0"/>
        <w:adjustRightInd/>
        <w:snapToGrid w:val="0"/>
        <w:spacing w:beforeAutospacing="0" w:line="560" w:lineRule="exact"/>
        <w:textAlignment w:val="auto"/>
        <w:outlineLvl w:val="0"/>
        <w:rPr>
          <w:rFonts w:hint="eastAsia" w:ascii="黑体" w:hAnsi="黑体" w:eastAsia="黑体" w:cs="Times New Roman"/>
          <w:color w:val="auto"/>
          <w:sz w:val="32"/>
          <w:szCs w:val="32"/>
          <w:lang w:val="en-US" w:eastAsia="zh-CN"/>
        </w:rPr>
      </w:pPr>
    </w:p>
    <w:p w14:paraId="4DEA752A">
      <w:pPr>
        <w:keepNext w:val="0"/>
        <w:keepLines w:val="0"/>
        <w:pageBreakBefore w:val="0"/>
        <w:widowControl w:val="0"/>
        <w:numPr>
          <w:ilvl w:val="0"/>
          <w:numId w:val="0"/>
        </w:numPr>
        <w:kinsoku/>
        <w:wordWrap/>
        <w:overflowPunct/>
        <w:topLinePunct w:val="0"/>
        <w:autoSpaceDE/>
        <w:autoSpaceDN/>
        <w:bidi w:val="0"/>
        <w:adjustRightInd/>
        <w:snapToGrid w:val="0"/>
        <w:spacing w:beforeAutospacing="0" w:line="560" w:lineRule="exact"/>
        <w:textAlignment w:val="auto"/>
        <w:outlineLvl w:val="0"/>
        <w:rPr>
          <w:rFonts w:hint="eastAsia" w:ascii="仿宋_GB2312" w:eastAsia="仿宋_GB2312" w:cs="Times New Roman"/>
          <w:b/>
          <w:bCs/>
          <w:color w:val="auto"/>
          <w:sz w:val="32"/>
          <w:szCs w:val="32"/>
          <w:lang w:val="en-US" w:eastAsia="zh-CN"/>
        </w:rPr>
      </w:pPr>
      <w:r>
        <w:rPr>
          <w:rFonts w:hint="eastAsia" w:ascii="黑体" w:hAnsi="黑体" w:eastAsia="黑体" w:cs="Times New Roman"/>
          <w:b/>
          <w:bCs/>
          <w:color w:val="auto"/>
          <w:sz w:val="32"/>
          <w:szCs w:val="32"/>
          <w:lang w:val="en-US" w:eastAsia="zh-CN"/>
        </w:rPr>
        <w:t>办法：</w:t>
      </w:r>
    </w:p>
    <w:p w14:paraId="49DE2AA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lang w:val="en-US" w:eastAsia="zh-CN"/>
        </w:rPr>
      </w:pPr>
      <w:r>
        <w:rPr>
          <w:rFonts w:hint="eastAsia" w:ascii="楷体_GB2312" w:hAnsi="楷体_GB2312" w:eastAsia="楷体_GB2312" w:cs="楷体_GB2312"/>
          <w:color w:val="auto"/>
          <w:sz w:val="32"/>
          <w:szCs w:val="40"/>
          <w:lang w:val="en-US" w:eastAsia="zh-Hans"/>
        </w:rPr>
        <w:t>（一）</w:t>
      </w:r>
      <w:r>
        <w:rPr>
          <w:rFonts w:hint="eastAsia" w:ascii="楷体_GB2312" w:hAnsi="楷体_GB2312" w:eastAsia="楷体_GB2312" w:cs="楷体_GB2312"/>
          <w:color w:val="auto"/>
          <w:sz w:val="32"/>
          <w:szCs w:val="40"/>
          <w:lang w:val="en-US" w:eastAsia="zh-CN"/>
        </w:rPr>
        <w:t>建立“立体式”科技馆体系</w:t>
      </w:r>
    </w:p>
    <w:p w14:paraId="59FCE087">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jc w:val="both"/>
        <w:textAlignment w:val="auto"/>
        <w:rPr>
          <w:rFonts w:hint="eastAsia" w:ascii="仿宋_GB2312" w:eastAsia="仿宋_GB2312" w:cs="Times New Roman"/>
          <w:color w:val="auto"/>
          <w:sz w:val="32"/>
          <w:szCs w:val="32"/>
          <w:lang w:val="en-US" w:eastAsia="zh-CN"/>
        </w:rPr>
      </w:pPr>
      <w:r>
        <w:rPr>
          <w:rFonts w:hint="eastAsia" w:ascii="仿宋_GB2312" w:eastAsia="仿宋_GB2312" w:cs="Times New Roman" w:hAnsiTheme="minorHAnsi"/>
          <w:b w:val="0"/>
          <w:bCs w:val="0"/>
          <w:color w:val="auto"/>
          <w:kern w:val="2"/>
          <w:sz w:val="32"/>
          <w:szCs w:val="32"/>
          <w:lang w:val="en-US" w:eastAsia="zh-Hans" w:bidi="ar-SA"/>
        </w:rPr>
        <w:t>一是</w:t>
      </w:r>
      <w:r>
        <w:rPr>
          <w:rFonts w:hint="eastAsia" w:ascii="仿宋_GB2312" w:eastAsia="仿宋_GB2312" w:cs="Times New Roman"/>
          <w:color w:val="auto"/>
          <w:sz w:val="32"/>
          <w:szCs w:val="32"/>
          <w:lang w:val="en-US" w:eastAsia="zh-CN"/>
        </w:rPr>
        <w:t>加快</w:t>
      </w:r>
      <w:r>
        <w:rPr>
          <w:rFonts w:hint="eastAsia" w:ascii="仿宋_GB2312" w:eastAsia="仿宋_GB2312" w:cs="Times New Roman" w:hAnsiTheme="minorHAnsi"/>
          <w:b w:val="0"/>
          <w:bCs w:val="0"/>
          <w:color w:val="auto"/>
          <w:kern w:val="2"/>
          <w:sz w:val="32"/>
          <w:szCs w:val="32"/>
          <w:lang w:val="en-US" w:eastAsia="zh-Hans" w:bidi="ar-SA"/>
        </w:rPr>
        <w:t>规划新增区级科技馆。</w:t>
      </w:r>
      <w:r>
        <w:rPr>
          <w:rFonts w:hint="eastAsia" w:ascii="仿宋_GB2312" w:eastAsia="仿宋_GB2312" w:cs="Times New Roman"/>
          <w:color w:val="auto"/>
          <w:sz w:val="32"/>
          <w:szCs w:val="32"/>
          <w:lang w:val="en-US" w:eastAsia="zh-CN"/>
        </w:rPr>
        <w:t>按照</w:t>
      </w:r>
      <w:bookmarkStart w:id="1" w:name="OLE_LINK2"/>
      <w:r>
        <w:rPr>
          <w:rFonts w:hint="eastAsia" w:ascii="仿宋_GB2312" w:eastAsia="仿宋_GB2312" w:cs="Times New Roman"/>
          <w:color w:val="auto"/>
          <w:sz w:val="32"/>
          <w:szCs w:val="32"/>
          <w:lang w:val="en-US" w:eastAsia="zh-CN"/>
        </w:rPr>
        <w:t>《科学技术馆建设标准》</w:t>
      </w:r>
      <w:bookmarkEnd w:id="1"/>
      <w:r>
        <w:rPr>
          <w:rFonts w:hint="eastAsia" w:ascii="仿宋_GB2312" w:eastAsia="仿宋_GB2312" w:cs="Times New Roman"/>
          <w:color w:val="auto"/>
          <w:sz w:val="32"/>
          <w:szCs w:val="32"/>
          <w:lang w:val="en-US" w:eastAsia="zh-CN"/>
        </w:rPr>
        <w:t>（建标101-2007）第十七条，对建设科技馆的规模要求，根据番禺区人口预测情况，测算建议配置科技馆建筑面积约为3.09万㎡。同时充分尊重番禺区实际情况，</w:t>
      </w:r>
      <w:r>
        <w:rPr>
          <w:rFonts w:hint="eastAsia" w:ascii="仿宋_GB2312" w:eastAsia="仿宋_GB2312" w:cs="Times New Roman"/>
          <w:color w:val="auto"/>
          <w:sz w:val="32"/>
          <w:szCs w:val="32"/>
          <w:lang w:val="en-US" w:eastAsia="zh-Hans"/>
        </w:rPr>
        <w:t>结合城市发展规划和人口分布特点，</w:t>
      </w:r>
      <w:r>
        <w:rPr>
          <w:rFonts w:hint="eastAsia" w:ascii="仿宋_GB2312" w:eastAsia="仿宋_GB2312" w:cs="Times New Roman"/>
          <w:color w:val="auto"/>
          <w:sz w:val="32"/>
          <w:szCs w:val="32"/>
          <w:lang w:val="en-US" w:eastAsia="zh-CN"/>
        </w:rPr>
        <w:t>提供相应面积的空间配套，用于综合性的</w:t>
      </w:r>
      <w:r>
        <w:rPr>
          <w:rFonts w:hint="eastAsia" w:ascii="仿宋_GB2312" w:eastAsia="仿宋_GB2312" w:cs="Times New Roman"/>
          <w:color w:val="auto"/>
          <w:sz w:val="32"/>
          <w:szCs w:val="32"/>
          <w:lang w:val="en-US" w:eastAsia="zh-Hans"/>
        </w:rPr>
        <w:t>科技馆建设</w:t>
      </w:r>
      <w:r>
        <w:rPr>
          <w:rFonts w:hint="eastAsia" w:ascii="仿宋_GB2312" w:eastAsia="仿宋_GB2312" w:cs="Times New Roman"/>
          <w:color w:val="auto"/>
          <w:sz w:val="32"/>
          <w:szCs w:val="32"/>
          <w:lang w:val="en-US" w:eastAsia="zh-CN"/>
        </w:rPr>
        <w:t>，</w:t>
      </w:r>
      <w:r>
        <w:rPr>
          <w:rFonts w:hint="eastAsia" w:ascii="仿宋_GB2312" w:eastAsia="仿宋_GB2312" w:cs="Times New Roman"/>
          <w:color w:val="auto"/>
          <w:sz w:val="32"/>
          <w:szCs w:val="32"/>
          <w:lang w:val="en-US" w:eastAsia="zh-Hans"/>
        </w:rPr>
        <w:t>提供全方位的科普服务</w:t>
      </w:r>
      <w:r>
        <w:rPr>
          <w:rFonts w:hint="eastAsia" w:ascii="仿宋_GB2312" w:eastAsia="仿宋_GB2312" w:cs="Times New Roman"/>
          <w:color w:val="auto"/>
          <w:sz w:val="32"/>
          <w:szCs w:val="32"/>
          <w:lang w:val="en-US" w:eastAsia="zh-CN"/>
        </w:rPr>
        <w:t>，必然是有一定的需求价值</w:t>
      </w:r>
      <w:r>
        <w:rPr>
          <w:rFonts w:hint="eastAsia" w:ascii="仿宋_GB2312" w:eastAsia="仿宋_GB2312" w:cs="Times New Roman"/>
          <w:color w:val="auto"/>
          <w:sz w:val="32"/>
          <w:szCs w:val="32"/>
          <w:lang w:val="en-US" w:eastAsia="zh-Hans"/>
        </w:rPr>
        <w:t>。</w:t>
      </w:r>
      <w:r>
        <w:rPr>
          <w:rFonts w:hint="eastAsia" w:ascii="仿宋_GB2312" w:eastAsia="仿宋_GB2312" w:cs="Times New Roman"/>
          <w:color w:val="auto"/>
          <w:sz w:val="32"/>
          <w:szCs w:val="32"/>
          <w:lang w:val="en-US" w:eastAsia="zh-CN"/>
        </w:rPr>
        <w:t>科技馆是公益事业，在建设资金筹措方面，可以政府投资引导为主，还可以通过多元化的运作方式，积极争取社会资助，通过灵活多元的运作方式，引导鼓励企业、个人参与科技馆建设，实现政府、民间、企业的资源共享。</w:t>
      </w:r>
    </w:p>
    <w:p w14:paraId="03ED32DA">
      <w:pPr>
        <w:keepNext w:val="0"/>
        <w:keepLines w:val="0"/>
        <w:pageBreakBefore w:val="0"/>
        <w:kinsoku/>
        <w:wordWrap/>
        <w:overflowPunct/>
        <w:topLinePunct w:val="0"/>
        <w:autoSpaceDE/>
        <w:autoSpaceDN/>
        <w:bidi w:val="0"/>
        <w:adjustRightInd/>
        <w:spacing w:line="560" w:lineRule="exact"/>
        <w:ind w:firstLine="640"/>
        <w:textAlignment w:val="auto"/>
        <w:rPr>
          <w:rFonts w:hint="eastAsia" w:ascii="仿宋_GB2312" w:eastAsia="仿宋_GB2312" w:cs="Times New Roman"/>
          <w:color w:val="auto"/>
          <w:sz w:val="32"/>
          <w:szCs w:val="32"/>
          <w:lang w:val="en-US" w:eastAsia="zh-CN"/>
        </w:rPr>
      </w:pPr>
      <w:r>
        <w:rPr>
          <w:rFonts w:hint="eastAsia" w:ascii="仿宋_GB2312" w:eastAsia="仿宋_GB2312" w:cs="Times New Roman" w:hAnsiTheme="minorHAnsi"/>
          <w:i w:val="0"/>
          <w:caps w:val="0"/>
          <w:color w:val="auto"/>
          <w:spacing w:val="0"/>
          <w:kern w:val="2"/>
          <w:sz w:val="32"/>
          <w:szCs w:val="32"/>
          <w:shd w:val="clear" w:fill="auto"/>
          <w:lang w:val="en-US" w:eastAsia="zh-CN" w:bidi="ar-SA"/>
        </w:rPr>
        <w:t>二是</w:t>
      </w:r>
      <w:r>
        <w:rPr>
          <w:rFonts w:hint="eastAsia" w:ascii="仿宋_GB2312" w:eastAsia="仿宋_GB2312" w:cs="Times New Roman"/>
          <w:color w:val="auto"/>
          <w:sz w:val="32"/>
          <w:szCs w:val="32"/>
          <w:lang w:val="en-US" w:eastAsia="zh-CN"/>
        </w:rPr>
        <w:t>鼓励筹建一批工业科普教育基地。加强与辖区的高等院校、重点企业对接，</w:t>
      </w:r>
      <w:r>
        <w:rPr>
          <w:rFonts w:hint="eastAsia" w:ascii="仿宋_GB2312" w:eastAsia="仿宋_GB2312" w:cs="Times New Roman" w:hAnsiTheme="minorHAnsi"/>
          <w:i w:val="0"/>
          <w:caps w:val="0"/>
          <w:color w:val="auto"/>
          <w:spacing w:val="0"/>
          <w:kern w:val="2"/>
          <w:sz w:val="32"/>
          <w:szCs w:val="32"/>
          <w:shd w:val="clear" w:fill="auto"/>
          <w:lang w:val="en-US" w:eastAsia="zh-CN" w:bidi="ar-SA"/>
        </w:rPr>
        <w:t>大力培植一批</w:t>
      </w:r>
      <w:r>
        <w:rPr>
          <w:rFonts w:hint="eastAsia" w:ascii="仿宋_GB2312" w:eastAsia="仿宋_GB2312" w:cs="Times New Roman"/>
          <w:color w:val="auto"/>
          <w:sz w:val="32"/>
          <w:szCs w:val="32"/>
          <w:lang w:val="en-US" w:eastAsia="zh-CN"/>
        </w:rPr>
        <w:t>主题突出、</w:t>
      </w:r>
      <w:r>
        <w:rPr>
          <w:rFonts w:hint="eastAsia" w:ascii="仿宋_GB2312" w:eastAsia="仿宋_GB2312" w:cs="Times New Roman" w:hAnsiTheme="minorHAnsi"/>
          <w:i w:val="0"/>
          <w:caps w:val="0"/>
          <w:color w:val="auto"/>
          <w:spacing w:val="0"/>
          <w:kern w:val="2"/>
          <w:sz w:val="32"/>
          <w:szCs w:val="32"/>
          <w:shd w:val="clear" w:fill="auto"/>
          <w:lang w:val="en-US" w:eastAsia="zh-CN" w:bidi="ar-SA"/>
        </w:rPr>
        <w:t>示范带动功能突出的</w:t>
      </w:r>
      <w:r>
        <w:rPr>
          <w:rFonts w:hint="eastAsia" w:ascii="仿宋_GB2312" w:eastAsia="仿宋_GB2312" w:cs="Times New Roman"/>
          <w:color w:val="auto"/>
          <w:sz w:val="32"/>
          <w:szCs w:val="32"/>
          <w:lang w:val="en-US" w:eastAsia="zh-CN"/>
        </w:rPr>
        <w:t>工业科普教育基地</w:t>
      </w:r>
      <w:r>
        <w:rPr>
          <w:rFonts w:hint="eastAsia" w:ascii="仿宋_GB2312" w:eastAsia="仿宋_GB2312" w:cs="Times New Roman" w:hAnsiTheme="minorHAnsi"/>
          <w:i w:val="0"/>
          <w:caps w:val="0"/>
          <w:color w:val="auto"/>
          <w:spacing w:val="0"/>
          <w:kern w:val="2"/>
          <w:sz w:val="32"/>
          <w:szCs w:val="32"/>
          <w:shd w:val="clear" w:fill="auto"/>
          <w:lang w:val="en-US" w:eastAsia="zh-CN" w:bidi="ar-SA"/>
        </w:rPr>
        <w:t>。</w:t>
      </w:r>
      <w:r>
        <w:rPr>
          <w:rFonts w:hint="eastAsia" w:ascii="仿宋_GB2312" w:eastAsia="仿宋_GB2312" w:cs="Times New Roman"/>
          <w:color w:val="auto"/>
          <w:sz w:val="32"/>
          <w:szCs w:val="32"/>
          <w:lang w:val="en-US" w:eastAsia="zh-CN"/>
        </w:rPr>
        <w:t>同时策划多条工业科普旅游路线，不仅让民众</w:t>
      </w:r>
      <w:r>
        <w:rPr>
          <w:rFonts w:hint="eastAsia" w:ascii="仿宋_GB2312" w:eastAsia="仿宋_GB2312" w:cs="Times New Roman" w:hAnsiTheme="minorHAnsi"/>
          <w:i w:val="0"/>
          <w:caps w:val="0"/>
          <w:color w:val="auto"/>
          <w:spacing w:val="0"/>
          <w:kern w:val="2"/>
          <w:sz w:val="32"/>
          <w:szCs w:val="32"/>
          <w:shd w:val="clear" w:fill="auto"/>
          <w:lang w:val="en-US" w:eastAsia="zh-CN" w:bidi="ar-SA"/>
        </w:rPr>
        <w:t>直观地了解科学技术在实际生产中的应用</w:t>
      </w:r>
      <w:r>
        <w:rPr>
          <w:rFonts w:hint="eastAsia" w:ascii="仿宋_GB2312" w:eastAsia="仿宋_GB2312" w:cs="Times New Roman"/>
          <w:color w:val="auto"/>
          <w:sz w:val="32"/>
          <w:szCs w:val="32"/>
          <w:lang w:val="en-US" w:eastAsia="zh-CN"/>
        </w:rPr>
        <w:t>，而且通过工业科普旅游提升“番禺智造创新城”的影响力。</w:t>
      </w:r>
    </w:p>
    <w:p w14:paraId="5D43DED8">
      <w:pPr>
        <w:pStyle w:val="11"/>
        <w:keepNext w:val="0"/>
        <w:keepLines w:val="0"/>
        <w:pageBreakBefore w:val="0"/>
        <w:kinsoku/>
        <w:wordWrap/>
        <w:overflowPunct/>
        <w:topLinePunct w:val="0"/>
        <w:autoSpaceDE/>
        <w:autoSpaceDN/>
        <w:bidi w:val="0"/>
        <w:adjustRightInd/>
        <w:spacing w:beforeAutospacing="0" w:after="0" w:line="560" w:lineRule="exact"/>
        <w:ind w:firstLine="640" w:firstLineChars="200"/>
        <w:textAlignment w:val="auto"/>
        <w:rPr>
          <w:rFonts w:hint="default" w:ascii="楷体_GB2312" w:hAnsi="楷体_GB2312" w:eastAsia="楷体_GB2312" w:cs="楷体_GB2312"/>
          <w:color w:val="auto"/>
          <w:kern w:val="2"/>
          <w:sz w:val="32"/>
          <w:szCs w:val="40"/>
          <w:lang w:val="en-US" w:eastAsia="zh-CN" w:bidi="ar-SA"/>
        </w:rPr>
      </w:pPr>
      <w:r>
        <w:rPr>
          <w:rFonts w:hint="eastAsia" w:ascii="楷体_GB2312" w:hAnsi="楷体_GB2312" w:eastAsia="楷体_GB2312" w:cs="楷体_GB2312"/>
          <w:color w:val="auto"/>
          <w:kern w:val="2"/>
          <w:sz w:val="32"/>
          <w:szCs w:val="40"/>
          <w:lang w:val="en-US" w:eastAsia="zh-Hans" w:bidi="ar-SA"/>
        </w:rPr>
        <w:t>（</w:t>
      </w:r>
      <w:r>
        <w:rPr>
          <w:rFonts w:hint="eastAsia" w:ascii="楷体_GB2312" w:hAnsi="楷体_GB2312" w:eastAsia="楷体_GB2312" w:cs="楷体_GB2312"/>
          <w:color w:val="auto"/>
          <w:kern w:val="2"/>
          <w:sz w:val="32"/>
          <w:szCs w:val="40"/>
          <w:lang w:val="en-US" w:eastAsia="zh-CN" w:bidi="ar-SA"/>
        </w:rPr>
        <w:t>二</w:t>
      </w:r>
      <w:r>
        <w:rPr>
          <w:rFonts w:hint="eastAsia" w:ascii="楷体_GB2312" w:hAnsi="楷体_GB2312" w:eastAsia="楷体_GB2312" w:cs="楷体_GB2312"/>
          <w:color w:val="auto"/>
          <w:kern w:val="2"/>
          <w:sz w:val="32"/>
          <w:szCs w:val="40"/>
          <w:lang w:val="en-US" w:eastAsia="zh-Hans" w:bidi="ar-SA"/>
        </w:rPr>
        <w:t>）</w:t>
      </w:r>
      <w:r>
        <w:rPr>
          <w:rFonts w:hint="eastAsia" w:ascii="楷体_GB2312" w:hAnsi="楷体_GB2312" w:eastAsia="楷体_GB2312" w:cs="楷体_GB2312"/>
          <w:color w:val="auto"/>
          <w:kern w:val="2"/>
          <w:sz w:val="32"/>
          <w:szCs w:val="40"/>
          <w:lang w:val="en-US" w:eastAsia="zh-CN" w:bidi="ar-SA"/>
        </w:rPr>
        <w:t>创新内容、丰富形式</w:t>
      </w:r>
    </w:p>
    <w:p w14:paraId="2675AFFB">
      <w:pPr>
        <w:keepNext w:val="0"/>
        <w:keepLines w:val="0"/>
        <w:pageBreakBefore w:val="0"/>
        <w:widowControl w:val="0"/>
        <w:kinsoku/>
        <w:wordWrap/>
        <w:overflowPunct/>
        <w:topLinePunct w:val="0"/>
        <w:autoSpaceDE/>
        <w:autoSpaceDN/>
        <w:bidi w:val="0"/>
        <w:adjustRightInd/>
        <w:spacing w:line="560" w:lineRule="exact"/>
        <w:ind w:firstLine="640"/>
        <w:jc w:val="both"/>
        <w:textAlignment w:val="auto"/>
        <w:rPr>
          <w:rFonts w:hint="eastAsia" w:ascii="仿宋_GB2312" w:eastAsia="仿宋_GB2312" w:cs="Times New Roman"/>
          <w:color w:val="auto"/>
          <w:sz w:val="32"/>
          <w:szCs w:val="32"/>
          <w:lang w:val="en-US" w:eastAsia="zh-CN"/>
        </w:rPr>
      </w:pPr>
      <w:r>
        <w:rPr>
          <w:rFonts w:hint="eastAsia" w:ascii="仿宋_GB2312" w:eastAsia="仿宋_GB2312" w:cs="Times New Roman"/>
          <w:color w:val="auto"/>
          <w:sz w:val="32"/>
          <w:szCs w:val="32"/>
          <w:lang w:val="en-US" w:eastAsia="zh-CN"/>
        </w:rPr>
        <w:t>紧跟科技前沿更新内容：建立科普内容更新机制，定期收集国内外最新的科技成果和研究动态，及时融入科技馆的展览和教育活动中。与科研机构、高校建立合作关系，邀请专家学者参与科普内容的策划和创作，确保科普内容的科学性和前沿性。例如，定期举办 “前沿科技展”，展示人工智能、量子计算、基因编辑等领域的最新成果和应用前景。</w:t>
      </w:r>
    </w:p>
    <w:p w14:paraId="5229371C">
      <w:pPr>
        <w:keepNext w:val="0"/>
        <w:keepLines w:val="0"/>
        <w:pageBreakBefore w:val="0"/>
        <w:widowControl w:val="0"/>
        <w:kinsoku/>
        <w:wordWrap/>
        <w:overflowPunct/>
        <w:topLinePunct w:val="0"/>
        <w:autoSpaceDE/>
        <w:autoSpaceDN/>
        <w:bidi w:val="0"/>
        <w:adjustRightInd/>
        <w:spacing w:line="560" w:lineRule="exact"/>
        <w:ind w:firstLine="640"/>
        <w:jc w:val="both"/>
        <w:textAlignment w:val="auto"/>
        <w:rPr>
          <w:rFonts w:hint="eastAsia" w:ascii="仿宋_GB2312" w:eastAsia="仿宋_GB2312" w:cs="Times New Roman"/>
          <w:color w:val="auto"/>
          <w:sz w:val="32"/>
          <w:szCs w:val="32"/>
          <w:lang w:val="en-US" w:eastAsia="zh-CN"/>
        </w:rPr>
      </w:pPr>
      <w:r>
        <w:rPr>
          <w:rFonts w:hint="eastAsia" w:ascii="仿宋_GB2312" w:eastAsia="仿宋_GB2312" w:cs="Times New Roman"/>
          <w:color w:val="auto"/>
          <w:sz w:val="32"/>
          <w:szCs w:val="32"/>
          <w:lang w:val="en-US" w:eastAsia="zh-CN"/>
        </w:rPr>
        <w:t>丰富科普形式增强互动体验：充分利用现代信息技术，如虚拟现实（VR）、增强现实（AR）、人工智能等，创新科普形式。打造沉浸式科普体验项目，让观众身临其境地感受科学的魅力。例如，利用VR技术开发科普游戏，让观众在游戏中学习科学知识；建设AR科普展厅，通过手机扫描展品获取更多的科普信息和互动体验。此外，还可以开展</w:t>
      </w:r>
      <w:bookmarkStart w:id="3" w:name="_GoBack"/>
      <w:bookmarkEnd w:id="3"/>
      <w:r>
        <w:rPr>
          <w:rFonts w:hint="eastAsia" w:ascii="仿宋_GB2312" w:eastAsia="仿宋_GB2312" w:cs="Times New Roman"/>
          <w:color w:val="auto"/>
          <w:sz w:val="32"/>
          <w:szCs w:val="32"/>
          <w:lang w:val="en-US" w:eastAsia="zh-CN"/>
        </w:rPr>
        <w:t>科普剧、科学实验秀、科普讲座等形式多样的科普活动，满足不同观众的需求。</w:t>
      </w:r>
    </w:p>
    <w:p w14:paraId="3CED08EF">
      <w:pPr>
        <w:pStyle w:val="11"/>
        <w:keepNext w:val="0"/>
        <w:keepLines w:val="0"/>
        <w:pageBreakBefore w:val="0"/>
        <w:kinsoku/>
        <w:wordWrap/>
        <w:overflowPunct/>
        <w:topLinePunct w:val="0"/>
        <w:autoSpaceDE/>
        <w:autoSpaceDN/>
        <w:bidi w:val="0"/>
        <w:adjustRightInd/>
        <w:spacing w:beforeAutospacing="0" w:after="0" w:line="560" w:lineRule="exact"/>
        <w:ind w:firstLine="640" w:firstLineChars="200"/>
        <w:textAlignment w:val="auto"/>
        <w:rPr>
          <w:rFonts w:hint="eastAsia" w:ascii="楷体_GB2312" w:hAnsi="楷体_GB2312" w:eastAsia="楷体_GB2312" w:cs="楷体_GB2312"/>
          <w:b w:val="0"/>
          <w:bCs w:val="0"/>
          <w:color w:val="auto"/>
          <w:kern w:val="2"/>
          <w:sz w:val="32"/>
          <w:szCs w:val="40"/>
          <w:lang w:val="en-US" w:eastAsia="zh-Hans" w:bidi="ar-SA"/>
        </w:rPr>
      </w:pPr>
      <w:r>
        <w:rPr>
          <w:rFonts w:hint="eastAsia" w:ascii="楷体_GB2312" w:hAnsi="楷体_GB2312" w:eastAsia="楷体_GB2312" w:cs="楷体_GB2312"/>
          <w:b w:val="0"/>
          <w:bCs w:val="0"/>
          <w:color w:val="auto"/>
          <w:kern w:val="2"/>
          <w:sz w:val="32"/>
          <w:szCs w:val="40"/>
          <w:lang w:val="en-US" w:eastAsia="zh-Hans" w:bidi="ar-SA"/>
        </w:rPr>
        <w:t>（</w:t>
      </w:r>
      <w:r>
        <w:rPr>
          <w:rFonts w:hint="eastAsia" w:ascii="楷体_GB2312" w:hAnsi="楷体_GB2312" w:eastAsia="楷体_GB2312" w:cs="楷体_GB2312"/>
          <w:b w:val="0"/>
          <w:bCs w:val="0"/>
          <w:color w:val="auto"/>
          <w:kern w:val="2"/>
          <w:sz w:val="32"/>
          <w:szCs w:val="40"/>
          <w:lang w:val="en-US" w:eastAsia="zh-CN" w:bidi="ar-SA"/>
        </w:rPr>
        <w:t>三</w:t>
      </w:r>
      <w:r>
        <w:rPr>
          <w:rFonts w:hint="eastAsia" w:ascii="楷体_GB2312" w:hAnsi="楷体_GB2312" w:eastAsia="楷体_GB2312" w:cs="楷体_GB2312"/>
          <w:b w:val="0"/>
          <w:bCs w:val="0"/>
          <w:color w:val="auto"/>
          <w:kern w:val="2"/>
          <w:sz w:val="32"/>
          <w:szCs w:val="40"/>
          <w:lang w:val="en-US" w:eastAsia="zh-Hans" w:bidi="ar-SA"/>
        </w:rPr>
        <w:t>）加强科技馆与科研机构、企业</w:t>
      </w:r>
      <w:r>
        <w:rPr>
          <w:rFonts w:hint="eastAsia" w:ascii="楷体_GB2312" w:hAnsi="楷体_GB2312" w:eastAsia="楷体_GB2312" w:cs="楷体_GB2312"/>
          <w:b w:val="0"/>
          <w:bCs w:val="0"/>
          <w:color w:val="auto"/>
          <w:kern w:val="2"/>
          <w:sz w:val="32"/>
          <w:szCs w:val="40"/>
          <w:lang w:val="en-US" w:eastAsia="zh-CN" w:bidi="ar-SA"/>
        </w:rPr>
        <w:t>、学校等</w:t>
      </w:r>
      <w:r>
        <w:rPr>
          <w:rFonts w:hint="eastAsia" w:ascii="楷体_GB2312" w:hAnsi="楷体_GB2312" w:eastAsia="楷体_GB2312" w:cs="楷体_GB2312"/>
          <w:b w:val="0"/>
          <w:bCs w:val="0"/>
          <w:color w:val="auto"/>
          <w:kern w:val="2"/>
          <w:sz w:val="32"/>
          <w:szCs w:val="40"/>
          <w:lang w:val="en-US" w:eastAsia="zh-Hans" w:bidi="ar-SA"/>
        </w:rPr>
        <w:t>合作</w:t>
      </w:r>
    </w:p>
    <w:p w14:paraId="4DAB3533">
      <w:pPr>
        <w:pStyle w:val="11"/>
        <w:keepNext w:val="0"/>
        <w:keepLines w:val="0"/>
        <w:pageBreakBefore w:val="0"/>
        <w:kinsoku/>
        <w:wordWrap/>
        <w:overflowPunct/>
        <w:topLinePunct w:val="0"/>
        <w:autoSpaceDE/>
        <w:autoSpaceDN/>
        <w:bidi w:val="0"/>
        <w:adjustRightInd/>
        <w:spacing w:beforeAutospacing="0" w:after="0" w:line="560" w:lineRule="exact"/>
        <w:ind w:firstLine="640" w:firstLineChars="200"/>
        <w:textAlignment w:val="auto"/>
        <w:rPr>
          <w:rFonts w:hint="eastAsia" w:ascii="仿宋_GB2312" w:eastAsia="仿宋_GB2312" w:cs="Times New Roman" w:hAnsiTheme="minorHAnsi"/>
          <w:b w:val="0"/>
          <w:bCs w:val="0"/>
          <w:color w:val="auto"/>
          <w:kern w:val="2"/>
          <w:sz w:val="32"/>
          <w:szCs w:val="32"/>
          <w:lang w:val="en-US" w:eastAsia="zh-Hans" w:bidi="ar-SA"/>
        </w:rPr>
      </w:pPr>
      <w:r>
        <w:rPr>
          <w:rFonts w:hint="eastAsia" w:ascii="仿宋_GB2312" w:eastAsia="仿宋_GB2312" w:cs="Times New Roman" w:hAnsiTheme="minorHAnsi"/>
          <w:b w:val="0"/>
          <w:bCs w:val="0"/>
          <w:color w:val="auto"/>
          <w:kern w:val="2"/>
          <w:sz w:val="32"/>
          <w:szCs w:val="32"/>
          <w:lang w:val="en-US" w:eastAsia="zh-Hans" w:bidi="ar-SA"/>
        </w:rPr>
        <w:t>建立常态化合作机制：政府部门牵头，搭建科技馆与</w:t>
      </w:r>
      <w:r>
        <w:rPr>
          <w:rFonts w:hint="eastAsia" w:ascii="仿宋_GB2312" w:eastAsia="仿宋_GB2312" w:cs="Times New Roman"/>
          <w:b w:val="0"/>
          <w:bCs w:val="0"/>
          <w:color w:val="auto"/>
          <w:kern w:val="2"/>
          <w:sz w:val="32"/>
          <w:szCs w:val="32"/>
          <w:lang w:val="en-US" w:eastAsia="zh-CN" w:bidi="ar-SA"/>
        </w:rPr>
        <w:t>区政府各部门、</w:t>
      </w:r>
      <w:r>
        <w:rPr>
          <w:rFonts w:hint="eastAsia" w:ascii="仿宋_GB2312" w:eastAsia="仿宋_GB2312" w:cs="Times New Roman" w:hAnsiTheme="minorHAnsi"/>
          <w:b w:val="0"/>
          <w:bCs w:val="0"/>
          <w:color w:val="auto"/>
          <w:kern w:val="2"/>
          <w:sz w:val="32"/>
          <w:szCs w:val="32"/>
          <w:lang w:val="en-US" w:eastAsia="zh-Hans" w:bidi="ar-SA"/>
        </w:rPr>
        <w:t>科研机构、企业之间的合作平台，建立常态化的合作机制。定期组织召开合作对接会，促进双方的信息交流和项目合作。例如，设立科普资源共享平台，科研机构和企业将科研成果、技术资料等科普资源上传到平台，科技馆可以根据自身需求进行筛选和利用；同时，科技馆也可以将科普需求</w:t>
      </w:r>
      <w:r>
        <w:rPr>
          <w:rFonts w:hint="eastAsia" w:ascii="仿宋_GB2312" w:eastAsia="仿宋_GB2312" w:cs="Times New Roman"/>
          <w:b w:val="0"/>
          <w:bCs w:val="0"/>
          <w:color w:val="auto"/>
          <w:kern w:val="2"/>
          <w:sz w:val="32"/>
          <w:szCs w:val="32"/>
          <w:lang w:val="en-US" w:eastAsia="zh-CN" w:bidi="ar-SA"/>
        </w:rPr>
        <w:t>进行</w:t>
      </w:r>
      <w:r>
        <w:rPr>
          <w:rFonts w:hint="eastAsia" w:ascii="仿宋_GB2312" w:eastAsia="仿宋_GB2312" w:cs="Times New Roman" w:hAnsiTheme="minorHAnsi"/>
          <w:b w:val="0"/>
          <w:bCs w:val="0"/>
          <w:color w:val="auto"/>
          <w:kern w:val="2"/>
          <w:sz w:val="32"/>
          <w:szCs w:val="32"/>
          <w:lang w:val="en-US" w:eastAsia="zh-Hans" w:bidi="ar-SA"/>
        </w:rPr>
        <w:t>反馈，共同开展科普项目的研发和推广。</w:t>
      </w:r>
    </w:p>
    <w:p w14:paraId="5523F59E">
      <w:pPr>
        <w:pStyle w:val="11"/>
        <w:keepNext w:val="0"/>
        <w:keepLines w:val="0"/>
        <w:pageBreakBefore w:val="0"/>
        <w:kinsoku/>
        <w:wordWrap/>
        <w:overflowPunct/>
        <w:topLinePunct w:val="0"/>
        <w:autoSpaceDE/>
        <w:autoSpaceDN/>
        <w:bidi w:val="0"/>
        <w:adjustRightInd/>
        <w:spacing w:beforeAutospacing="0" w:after="0" w:line="560" w:lineRule="exact"/>
        <w:ind w:firstLine="640" w:firstLineChars="200"/>
        <w:textAlignment w:val="auto"/>
        <w:rPr>
          <w:rFonts w:hint="eastAsia" w:ascii="仿宋_GB2312" w:eastAsia="仿宋_GB2312" w:cs="Times New Roman" w:hAnsiTheme="minorHAnsi"/>
          <w:b w:val="0"/>
          <w:bCs w:val="0"/>
          <w:color w:val="auto"/>
          <w:kern w:val="2"/>
          <w:sz w:val="32"/>
          <w:szCs w:val="32"/>
          <w:lang w:val="en-US" w:eastAsia="zh-Hans" w:bidi="ar-SA"/>
        </w:rPr>
      </w:pPr>
      <w:r>
        <w:rPr>
          <w:rFonts w:hint="eastAsia" w:ascii="仿宋_GB2312" w:eastAsia="仿宋_GB2312" w:cs="Times New Roman" w:hAnsiTheme="minorHAnsi"/>
          <w:b w:val="0"/>
          <w:bCs w:val="0"/>
          <w:color w:val="auto"/>
          <w:kern w:val="2"/>
          <w:sz w:val="32"/>
          <w:szCs w:val="32"/>
          <w:lang w:val="en-US" w:eastAsia="zh-Hans" w:bidi="ar-SA"/>
        </w:rPr>
        <w:t>推动科研成果科普转化：设立科研成果科普转化专项基金，鼓励科研机构和企业将科研成果转化为科普展品、科普读物、科普视频等科普资源。对优秀的科普转化项目给予资金支持和政策奖励，提高科研机构和企业参与科普工作的积极性。例如，对于将新能源汽车技术转化为科普展品的企业，给予一定的资金补贴和荣誉表彰。</w:t>
      </w:r>
    </w:p>
    <w:p w14:paraId="375734FD">
      <w:pPr>
        <w:pStyle w:val="11"/>
        <w:keepNext w:val="0"/>
        <w:keepLines w:val="0"/>
        <w:pageBreakBefore w:val="0"/>
        <w:kinsoku/>
        <w:wordWrap/>
        <w:overflowPunct/>
        <w:topLinePunct w:val="0"/>
        <w:autoSpaceDE/>
        <w:autoSpaceDN/>
        <w:bidi w:val="0"/>
        <w:adjustRightInd/>
        <w:spacing w:beforeAutospacing="0" w:after="0" w:line="560" w:lineRule="exact"/>
        <w:ind w:firstLine="640" w:firstLineChars="200"/>
        <w:textAlignment w:val="auto"/>
        <w:rPr>
          <w:rFonts w:hint="eastAsia" w:ascii="仿宋_GB2312" w:eastAsia="仿宋_GB2312" w:cs="Times New Roman" w:hAnsiTheme="minorHAnsi"/>
          <w:b w:val="0"/>
          <w:bCs w:val="0"/>
          <w:color w:val="auto"/>
          <w:kern w:val="2"/>
          <w:sz w:val="32"/>
          <w:szCs w:val="32"/>
          <w:lang w:val="en-US" w:eastAsia="zh-Hans" w:bidi="ar-SA"/>
        </w:rPr>
      </w:pPr>
      <w:r>
        <w:rPr>
          <w:rFonts w:hint="eastAsia" w:ascii="仿宋_GB2312" w:eastAsia="仿宋_GB2312" w:cs="Times New Roman" w:hAnsiTheme="minorHAnsi"/>
          <w:b w:val="0"/>
          <w:bCs w:val="0"/>
          <w:color w:val="auto"/>
          <w:kern w:val="2"/>
          <w:sz w:val="32"/>
          <w:szCs w:val="32"/>
          <w:lang w:val="en-US" w:eastAsia="zh-Hans" w:bidi="ar-SA"/>
        </w:rPr>
        <w:t>建立</w:t>
      </w:r>
      <w:r>
        <w:rPr>
          <w:rFonts w:hint="eastAsia" w:ascii="仿宋_GB2312" w:eastAsia="仿宋_GB2312" w:cs="Times New Roman"/>
          <w:b w:val="0"/>
          <w:bCs w:val="0"/>
          <w:color w:val="auto"/>
          <w:kern w:val="2"/>
          <w:sz w:val="32"/>
          <w:szCs w:val="32"/>
          <w:lang w:val="en-US" w:eastAsia="zh-CN" w:bidi="ar-SA"/>
        </w:rPr>
        <w:t>科技馆</w:t>
      </w:r>
      <w:r>
        <w:rPr>
          <w:rFonts w:hint="eastAsia" w:ascii="仿宋_GB2312" w:eastAsia="仿宋_GB2312" w:cs="Times New Roman" w:hAnsiTheme="minorHAnsi"/>
          <w:b w:val="0"/>
          <w:bCs w:val="0"/>
          <w:color w:val="auto"/>
          <w:kern w:val="2"/>
          <w:sz w:val="32"/>
          <w:szCs w:val="32"/>
          <w:lang w:val="en-US" w:eastAsia="zh-Hans" w:bidi="ar-SA"/>
        </w:rPr>
        <w:t>内外科学教育资源有效衔接机制。促进开展</w:t>
      </w:r>
      <w:bookmarkStart w:id="2" w:name="OLE_LINK1"/>
      <w:r>
        <w:rPr>
          <w:rFonts w:hint="eastAsia" w:ascii="仿宋_GB2312" w:eastAsia="仿宋_GB2312" w:cs="Times New Roman" w:hAnsiTheme="minorHAnsi"/>
          <w:b w:val="0"/>
          <w:bCs w:val="0"/>
          <w:color w:val="auto"/>
          <w:kern w:val="2"/>
          <w:sz w:val="32"/>
          <w:szCs w:val="32"/>
          <w:lang w:val="en-US" w:eastAsia="zh-Hans" w:bidi="ar-SA"/>
        </w:rPr>
        <w:t>馆</w:t>
      </w:r>
      <w:bookmarkEnd w:id="2"/>
      <w:r>
        <w:rPr>
          <w:rFonts w:hint="eastAsia" w:ascii="仿宋_GB2312" w:eastAsia="仿宋_GB2312" w:cs="Times New Roman" w:hAnsiTheme="minorHAnsi"/>
          <w:b w:val="0"/>
          <w:bCs w:val="0"/>
          <w:color w:val="auto"/>
          <w:kern w:val="2"/>
          <w:sz w:val="32"/>
          <w:szCs w:val="32"/>
          <w:lang w:val="en-US" w:eastAsia="zh-Hans" w:bidi="ar-SA"/>
        </w:rPr>
        <w:t>馆合作</w:t>
      </w:r>
      <w:r>
        <w:rPr>
          <w:rFonts w:hint="eastAsia" w:ascii="仿宋_GB2312" w:eastAsia="仿宋_GB2312" w:cs="Times New Roman"/>
          <w:b w:val="0"/>
          <w:bCs w:val="0"/>
          <w:color w:val="auto"/>
          <w:kern w:val="2"/>
          <w:sz w:val="32"/>
          <w:szCs w:val="32"/>
          <w:lang w:val="en-US" w:eastAsia="zh-CN" w:bidi="ar-SA"/>
        </w:rPr>
        <w:t>（如与在建大镇岗气象塔合作）、</w:t>
      </w:r>
      <w:r>
        <w:rPr>
          <w:rFonts w:hint="eastAsia" w:ascii="仿宋_GB2312" w:eastAsia="仿宋_GB2312" w:cs="Times New Roman" w:hAnsiTheme="minorHAnsi"/>
          <w:b w:val="0"/>
          <w:bCs w:val="0"/>
          <w:color w:val="auto"/>
          <w:kern w:val="2"/>
          <w:sz w:val="32"/>
          <w:szCs w:val="32"/>
          <w:lang w:val="en-US" w:eastAsia="zh-Hans" w:bidi="ar-SA"/>
        </w:rPr>
        <w:t>馆校合作</w:t>
      </w:r>
      <w:r>
        <w:rPr>
          <w:rFonts w:hint="eastAsia" w:ascii="仿宋_GB2312" w:eastAsia="仿宋_GB2312" w:cs="Times New Roman"/>
          <w:b w:val="0"/>
          <w:bCs w:val="0"/>
          <w:color w:val="auto"/>
          <w:kern w:val="2"/>
          <w:sz w:val="32"/>
          <w:szCs w:val="32"/>
          <w:lang w:val="en-US" w:eastAsia="zh-CN" w:bidi="ar-SA"/>
        </w:rPr>
        <w:t>（如大学城高校与中小幼学校合作）</w:t>
      </w:r>
      <w:r>
        <w:rPr>
          <w:rFonts w:hint="eastAsia" w:ascii="仿宋_GB2312" w:eastAsia="仿宋_GB2312" w:cs="Times New Roman" w:hAnsiTheme="minorHAnsi"/>
          <w:b w:val="0"/>
          <w:bCs w:val="0"/>
          <w:color w:val="auto"/>
          <w:kern w:val="2"/>
          <w:sz w:val="32"/>
          <w:szCs w:val="32"/>
          <w:lang w:val="en-US" w:eastAsia="zh-Hans" w:bidi="ar-SA"/>
        </w:rPr>
        <w:t>，支持中小学校与科技馆、科普教育基地、自然教育学校(基地)等科普场所深度融合，开展科学课程教学及各类学习实践活动，建立常态化机制;引导高校、科研机构、医疗卫生机构、企业等开发开放互动性、体验性强的优质产品和科学教育资源。</w:t>
      </w:r>
    </w:p>
    <w:p w14:paraId="67D95AF0">
      <w:pPr>
        <w:pStyle w:val="11"/>
        <w:keepNext w:val="0"/>
        <w:keepLines w:val="0"/>
        <w:pageBreakBefore w:val="0"/>
        <w:kinsoku/>
        <w:wordWrap/>
        <w:overflowPunct/>
        <w:topLinePunct w:val="0"/>
        <w:autoSpaceDE/>
        <w:autoSpaceDN/>
        <w:bidi w:val="0"/>
        <w:adjustRightInd/>
        <w:spacing w:beforeAutospacing="0" w:after="0" w:line="560" w:lineRule="exact"/>
        <w:ind w:firstLine="640" w:firstLineChars="200"/>
        <w:textAlignment w:val="auto"/>
        <w:rPr>
          <w:rFonts w:hint="eastAsia" w:ascii="楷体_GB2312" w:hAnsi="楷体_GB2312" w:eastAsia="楷体_GB2312" w:cs="楷体_GB2312"/>
          <w:color w:val="auto"/>
          <w:kern w:val="2"/>
          <w:sz w:val="32"/>
          <w:szCs w:val="40"/>
          <w:lang w:val="en-US" w:eastAsia="zh-Hans" w:bidi="ar-SA"/>
        </w:rPr>
      </w:pPr>
      <w:r>
        <w:rPr>
          <w:rFonts w:hint="eastAsia" w:ascii="楷体_GB2312" w:hAnsi="楷体_GB2312" w:eastAsia="楷体_GB2312" w:cs="楷体_GB2312"/>
          <w:color w:val="auto"/>
          <w:kern w:val="2"/>
          <w:sz w:val="32"/>
          <w:szCs w:val="40"/>
          <w:lang w:val="en-US" w:eastAsia="zh-Hans" w:bidi="ar-SA"/>
        </w:rPr>
        <w:t>（</w:t>
      </w:r>
      <w:r>
        <w:rPr>
          <w:rFonts w:hint="eastAsia" w:ascii="楷体_GB2312" w:hAnsi="楷体_GB2312" w:eastAsia="楷体_GB2312" w:cs="楷体_GB2312"/>
          <w:color w:val="auto"/>
          <w:kern w:val="2"/>
          <w:sz w:val="32"/>
          <w:szCs w:val="40"/>
          <w:lang w:val="en-US" w:eastAsia="zh-CN" w:bidi="ar-SA"/>
        </w:rPr>
        <w:t>四</w:t>
      </w:r>
      <w:r>
        <w:rPr>
          <w:rFonts w:hint="eastAsia" w:ascii="楷体_GB2312" w:hAnsi="楷体_GB2312" w:eastAsia="楷体_GB2312" w:cs="楷体_GB2312"/>
          <w:color w:val="auto"/>
          <w:kern w:val="2"/>
          <w:sz w:val="32"/>
          <w:szCs w:val="40"/>
          <w:lang w:val="en-US" w:eastAsia="zh-Hans" w:bidi="ar-SA"/>
        </w:rPr>
        <w:t>）加强科普人才队伍建设</w:t>
      </w:r>
    </w:p>
    <w:p w14:paraId="1065768F">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cs="Times New Roman" w:hAnsiTheme="minorHAnsi"/>
          <w:b w:val="0"/>
          <w:bCs w:val="0"/>
          <w:color w:val="auto"/>
          <w:kern w:val="2"/>
          <w:sz w:val="32"/>
          <w:szCs w:val="32"/>
          <w:lang w:val="en-US" w:eastAsia="zh-CN" w:bidi="ar-SA"/>
        </w:rPr>
      </w:pPr>
      <w:r>
        <w:rPr>
          <w:rFonts w:hint="eastAsia" w:ascii="仿宋_GB2312" w:eastAsia="仿宋_GB2312" w:cs="Times New Roman" w:hAnsiTheme="minorHAnsi"/>
          <w:b w:val="0"/>
          <w:bCs w:val="0"/>
          <w:color w:val="auto"/>
          <w:kern w:val="2"/>
          <w:sz w:val="32"/>
          <w:szCs w:val="32"/>
          <w:lang w:val="en-US" w:eastAsia="zh-Hans" w:bidi="ar-SA"/>
        </w:rPr>
        <w:t>建立健全中小学科创教育体系</w:t>
      </w:r>
      <w:r>
        <w:rPr>
          <w:rFonts w:hint="eastAsia" w:ascii="仿宋_GB2312" w:eastAsia="仿宋_GB2312" w:cs="Times New Roman"/>
          <w:b w:val="0"/>
          <w:bCs w:val="0"/>
          <w:color w:val="auto"/>
          <w:kern w:val="2"/>
          <w:sz w:val="32"/>
          <w:szCs w:val="32"/>
          <w:lang w:val="en-US" w:eastAsia="zh-CN" w:bidi="ar-SA"/>
        </w:rPr>
        <w:t>：</w:t>
      </w:r>
      <w:r>
        <w:rPr>
          <w:rFonts w:hint="eastAsia" w:ascii="仿宋_GB2312" w:eastAsia="仿宋_GB2312" w:cs="Times New Roman" w:hAnsiTheme="minorHAnsi"/>
          <w:b w:val="0"/>
          <w:bCs w:val="0"/>
          <w:color w:val="auto"/>
          <w:kern w:val="2"/>
          <w:sz w:val="32"/>
          <w:szCs w:val="32"/>
          <w:lang w:val="en-US" w:eastAsia="zh-CN" w:bidi="ar-SA"/>
        </w:rPr>
        <w:t>制定出台中小学科技创新教育工作方案及行动计划。一是要明确科技创新教育定位。对小学至大学的创新教育进行整体分析，根据不同定位，进而确定小学、初高中的科创教育内容。二是完善课程开发。以新产业、新技术、新工具作为切入点，共同开发中学科创教育课程，发现、提炼与打磨创客教育与学科教育融合的典型课程案例，开展教学试点和项目论证。三是落实激励机制与评估督导，搭建青少年科学素养展示、竞赛平台。把科创教育教学水平、科技创新相关重点赛事成绩纳入在中小学办学水平评估，把中小学生科技创新素养评价纳入学生综合素养评价，对在科创教育中工作突出、成效显著的学校、教师和学生予以表彰奖励。由区教育局、区科工商信局、区科协等单位牵头，搭建一个青少年科学素养展示、竞赛平台，与青少年科普活动相结合，让更多的青少年参与科技活动，开展如科普秀、科普剧等展示活动，开展如科技创新比赛、四模一电比赛、智能机器人比赛等竞赛活动，激励广大少年儿童积极参与科技活动，以赛促学、以赛促练，引导和培养青少年的科技特长，发现更多科技创新方面的种子选手，为科技强国蓄力、为国育才。</w:t>
      </w:r>
    </w:p>
    <w:p w14:paraId="51432104">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cs="Times New Roman" w:hAnsiTheme="minorHAnsi"/>
          <w:color w:val="auto"/>
          <w:kern w:val="2"/>
          <w:sz w:val="32"/>
          <w:szCs w:val="32"/>
          <w:lang w:val="en-US" w:eastAsia="zh-CN" w:bidi="ar-SA"/>
        </w:rPr>
      </w:pPr>
      <w:r>
        <w:rPr>
          <w:rFonts w:hint="eastAsia" w:ascii="仿宋_GB2312" w:eastAsia="仿宋_GB2312" w:cs="Times New Roman" w:hAnsiTheme="minorHAnsi"/>
          <w:b w:val="0"/>
          <w:bCs w:val="0"/>
          <w:color w:val="auto"/>
          <w:kern w:val="2"/>
          <w:sz w:val="32"/>
          <w:szCs w:val="32"/>
          <w:lang w:val="en-US" w:eastAsia="zh-CN" w:bidi="ar-SA"/>
        </w:rPr>
        <w:t>加大科创教师队伍建设</w:t>
      </w:r>
      <w:r>
        <w:rPr>
          <w:rFonts w:hint="eastAsia" w:ascii="仿宋_GB2312" w:eastAsia="仿宋_GB2312" w:cs="Times New Roman"/>
          <w:b w:val="0"/>
          <w:bCs w:val="0"/>
          <w:color w:val="auto"/>
          <w:kern w:val="2"/>
          <w:sz w:val="32"/>
          <w:szCs w:val="32"/>
          <w:lang w:val="en-US" w:eastAsia="zh-CN" w:bidi="ar-SA"/>
        </w:rPr>
        <w:t>：</w:t>
      </w:r>
      <w:r>
        <w:rPr>
          <w:rFonts w:hint="eastAsia" w:ascii="仿宋_GB2312" w:eastAsia="仿宋_GB2312" w:cs="Times New Roman" w:hAnsiTheme="minorHAnsi"/>
          <w:b w:val="0"/>
          <w:bCs w:val="0"/>
          <w:color w:val="auto"/>
          <w:kern w:val="2"/>
          <w:sz w:val="32"/>
          <w:szCs w:val="32"/>
          <w:lang w:val="en-US" w:eastAsia="zh-CN" w:bidi="ar-SA"/>
        </w:rPr>
        <w:t>一是推动学校配备专职科技创新教师。加大对科技创新老师的保障力度，积极探索资格认定、职称评定的标准，</w:t>
      </w:r>
      <w:r>
        <w:rPr>
          <w:rFonts w:hint="eastAsia" w:ascii="仿宋_GB2312" w:eastAsia="仿宋_GB2312" w:cs="Times New Roman"/>
          <w:b w:val="0"/>
          <w:bCs w:val="0"/>
          <w:color w:val="auto"/>
          <w:kern w:val="2"/>
          <w:sz w:val="32"/>
          <w:szCs w:val="32"/>
          <w:lang w:val="en-US" w:eastAsia="zh-CN" w:bidi="ar-SA"/>
        </w:rPr>
        <w:t>给予单独通道，</w:t>
      </w:r>
      <w:r>
        <w:rPr>
          <w:rFonts w:hint="eastAsia" w:ascii="仿宋_GB2312" w:eastAsia="仿宋_GB2312" w:cs="Times New Roman" w:hAnsiTheme="minorHAnsi"/>
          <w:b w:val="0"/>
          <w:bCs w:val="0"/>
          <w:color w:val="auto"/>
          <w:kern w:val="2"/>
          <w:sz w:val="32"/>
          <w:szCs w:val="32"/>
          <w:lang w:val="en-US" w:eastAsia="zh-CN" w:bidi="ar-SA"/>
        </w:rPr>
        <w:t>确保科技创新教师的职称晋升通道，从而提高科技创新教师的</w:t>
      </w:r>
      <w:r>
        <w:rPr>
          <w:rFonts w:hint="eastAsia" w:ascii="仿宋_GB2312" w:eastAsia="仿宋_GB2312" w:cs="Times New Roman"/>
          <w:b w:val="0"/>
          <w:bCs w:val="0"/>
          <w:color w:val="auto"/>
          <w:kern w:val="2"/>
          <w:sz w:val="32"/>
          <w:szCs w:val="32"/>
          <w:lang w:val="en-US" w:eastAsia="zh-CN" w:bidi="ar-SA"/>
        </w:rPr>
        <w:t>工作</w:t>
      </w:r>
      <w:r>
        <w:rPr>
          <w:rFonts w:hint="eastAsia" w:ascii="仿宋_GB2312" w:eastAsia="仿宋_GB2312" w:cs="Times New Roman" w:hAnsiTheme="minorHAnsi"/>
          <w:b w:val="0"/>
          <w:bCs w:val="0"/>
          <w:color w:val="auto"/>
          <w:kern w:val="2"/>
          <w:sz w:val="32"/>
          <w:szCs w:val="32"/>
          <w:lang w:val="en-US" w:eastAsia="zh-CN" w:bidi="ar-SA"/>
        </w:rPr>
        <w:t>积极性。</w:t>
      </w:r>
      <w:r>
        <w:rPr>
          <w:rFonts w:hint="eastAsia" w:ascii="仿宋_GB2312" w:eastAsia="仿宋_GB2312" w:cs="Times New Roman" w:hAnsiTheme="minorHAnsi"/>
          <w:b w:val="0"/>
          <w:bCs w:val="0"/>
          <w:color w:val="auto"/>
          <w:kern w:val="2"/>
          <w:sz w:val="32"/>
          <w:szCs w:val="32"/>
          <w:lang w:val="en-US" w:eastAsia="zh-Hans" w:bidi="ar-SA"/>
        </w:rPr>
        <w:t>二是</w:t>
      </w:r>
      <w:r>
        <w:rPr>
          <w:rFonts w:hint="eastAsia" w:ascii="仿宋_GB2312" w:eastAsia="仿宋_GB2312" w:cs="Times New Roman" w:hAnsiTheme="minorHAnsi"/>
          <w:b w:val="0"/>
          <w:bCs w:val="0"/>
          <w:color w:val="auto"/>
          <w:kern w:val="2"/>
          <w:sz w:val="32"/>
          <w:szCs w:val="32"/>
          <w:lang w:val="en-US" w:eastAsia="zh-CN" w:bidi="ar-SA"/>
        </w:rPr>
        <w:t>加大对</w:t>
      </w:r>
      <w:r>
        <w:rPr>
          <w:rFonts w:hint="eastAsia" w:ascii="仿宋_GB2312" w:eastAsia="仿宋_GB2312" w:cs="Times New Roman" w:hAnsiTheme="minorHAnsi"/>
          <w:b w:val="0"/>
          <w:bCs w:val="0"/>
          <w:color w:val="auto"/>
          <w:kern w:val="2"/>
          <w:sz w:val="32"/>
          <w:szCs w:val="32"/>
          <w:lang w:val="en-US" w:eastAsia="zh-Hans" w:bidi="ar-SA"/>
        </w:rPr>
        <w:t>科技创新</w:t>
      </w:r>
      <w:r>
        <w:rPr>
          <w:rFonts w:hint="eastAsia" w:ascii="仿宋_GB2312" w:eastAsia="仿宋_GB2312" w:cs="Times New Roman" w:hAnsiTheme="minorHAnsi"/>
          <w:b w:val="0"/>
          <w:bCs w:val="0"/>
          <w:color w:val="auto"/>
          <w:kern w:val="2"/>
          <w:sz w:val="32"/>
          <w:szCs w:val="32"/>
          <w:lang w:val="en-US" w:eastAsia="zh-CN" w:bidi="ar-SA"/>
        </w:rPr>
        <w:t>骨干教师的培训力度。将科创教育纳入中小学教师继续教育中，采取多种途径开展业务培训。三是充分发挥</w:t>
      </w:r>
      <w:r>
        <w:rPr>
          <w:rFonts w:hint="eastAsia" w:ascii="仿宋_GB2312" w:eastAsia="仿宋_GB2312" w:cs="Times New Roman"/>
          <w:b w:val="0"/>
          <w:bCs w:val="0"/>
          <w:color w:val="auto"/>
          <w:kern w:val="2"/>
          <w:sz w:val="32"/>
          <w:szCs w:val="32"/>
          <w:lang w:val="en-US" w:eastAsia="zh-CN" w:bidi="ar-SA"/>
        </w:rPr>
        <w:t>专业</w:t>
      </w:r>
      <w:r>
        <w:rPr>
          <w:rFonts w:hint="eastAsia" w:ascii="仿宋_GB2312" w:eastAsia="仿宋_GB2312" w:cs="Times New Roman" w:hAnsiTheme="minorHAnsi"/>
          <w:b w:val="0"/>
          <w:bCs w:val="0"/>
          <w:color w:val="auto"/>
          <w:kern w:val="2"/>
          <w:sz w:val="32"/>
          <w:szCs w:val="32"/>
          <w:lang w:val="en-US" w:eastAsia="zh-CN" w:bidi="ar-SA"/>
        </w:rPr>
        <w:t>带头人的力量。制定科技创新教师名师评选管理办法，评选出各级科创教育名师并成立相应工作室。</w:t>
      </w: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2BEC990-724D-40C0-BB2D-04CA88BC95D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3F446D3F-015A-43DF-8CB3-EE61522B63E8}"/>
  </w:font>
  <w:font w:name="仿宋_GB2312">
    <w:panose1 w:val="02010609030101010101"/>
    <w:charset w:val="86"/>
    <w:family w:val="auto"/>
    <w:pitch w:val="default"/>
    <w:sig w:usb0="00000001" w:usb1="080E0000" w:usb2="00000000" w:usb3="00000000" w:csb0="00040000" w:csb1="00000000"/>
    <w:embedRegular r:id="rId3" w:fontKey="{CADE3BA4-07A9-42CC-84F5-70AA3BD81E67}"/>
  </w:font>
  <w:font w:name="方正小标宋_GBK">
    <w:panose1 w:val="03000509000000000000"/>
    <w:charset w:val="86"/>
    <w:family w:val="auto"/>
    <w:pitch w:val="default"/>
    <w:sig w:usb0="00000001" w:usb1="080E0000" w:usb2="00000000" w:usb3="00000000" w:csb0="00040000" w:csb1="00000000"/>
    <w:embedRegular r:id="rId4" w:fontKey="{7FFE5602-F34A-4434-B36C-B21607D7D549}"/>
  </w:font>
  <w:font w:name="仿宋">
    <w:panose1 w:val="02010609060101010101"/>
    <w:charset w:val="86"/>
    <w:family w:val="modern"/>
    <w:pitch w:val="default"/>
    <w:sig w:usb0="800002BF" w:usb1="38CF7CFA" w:usb2="00000016" w:usb3="00000000" w:csb0="00040001" w:csb1="00000000"/>
    <w:embedRegular r:id="rId5" w:fontKey="{7E5110FA-783A-4E5A-94B6-A38DCAD637D8}"/>
  </w:font>
  <w:font w:name="楷体_GB2312">
    <w:panose1 w:val="02010609030101010101"/>
    <w:charset w:val="86"/>
    <w:family w:val="auto"/>
    <w:pitch w:val="default"/>
    <w:sig w:usb0="00000001" w:usb1="080E0000" w:usb2="00000000" w:usb3="00000000" w:csb0="00040000" w:csb1="00000000"/>
    <w:embedRegular r:id="rId6" w:fontKey="{D317AFBB-F9DB-4E21-AF33-64B32B82FC2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09833E">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C29072">
                          <w:pPr>
                            <w:pStyle w:val="8"/>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BC29072">
                    <w:pPr>
                      <w:pStyle w:val="8"/>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468517"/>
    <w:multiLevelType w:val="singleLevel"/>
    <w:tmpl w:val="8446851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4YTY2NzNjYzhhMDBjYjhiZDFjNDRhZjk5ZjcyM2MifQ=="/>
  </w:docVars>
  <w:rsids>
    <w:rsidRoot w:val="7FFB1B2E"/>
    <w:rsid w:val="01913F8C"/>
    <w:rsid w:val="01B26C03"/>
    <w:rsid w:val="02AD5394"/>
    <w:rsid w:val="02EE56E6"/>
    <w:rsid w:val="04E05C73"/>
    <w:rsid w:val="060154AF"/>
    <w:rsid w:val="06F55595"/>
    <w:rsid w:val="07C00A71"/>
    <w:rsid w:val="08741249"/>
    <w:rsid w:val="08935065"/>
    <w:rsid w:val="08E95E89"/>
    <w:rsid w:val="09A602B3"/>
    <w:rsid w:val="09CF09FE"/>
    <w:rsid w:val="0C21236E"/>
    <w:rsid w:val="0C4B346F"/>
    <w:rsid w:val="0C956E48"/>
    <w:rsid w:val="0D9B47A5"/>
    <w:rsid w:val="0EF40FF7"/>
    <w:rsid w:val="0FBC31D4"/>
    <w:rsid w:val="10D83D01"/>
    <w:rsid w:val="139B727B"/>
    <w:rsid w:val="14831DAB"/>
    <w:rsid w:val="156A7751"/>
    <w:rsid w:val="16556C98"/>
    <w:rsid w:val="16F52C0B"/>
    <w:rsid w:val="182F0823"/>
    <w:rsid w:val="18D72D4C"/>
    <w:rsid w:val="1A0B18D1"/>
    <w:rsid w:val="1A3C1E2D"/>
    <w:rsid w:val="1BFF09E6"/>
    <w:rsid w:val="1D17405F"/>
    <w:rsid w:val="1E1237D7"/>
    <w:rsid w:val="1E551D59"/>
    <w:rsid w:val="1EE12B77"/>
    <w:rsid w:val="21D40711"/>
    <w:rsid w:val="24091E96"/>
    <w:rsid w:val="243239BE"/>
    <w:rsid w:val="26F511D0"/>
    <w:rsid w:val="270E36C1"/>
    <w:rsid w:val="288B76AF"/>
    <w:rsid w:val="2A090EBC"/>
    <w:rsid w:val="2AF711EA"/>
    <w:rsid w:val="2DA40819"/>
    <w:rsid w:val="2DFBB63C"/>
    <w:rsid w:val="2DFD11CB"/>
    <w:rsid w:val="2FD10F02"/>
    <w:rsid w:val="326108A3"/>
    <w:rsid w:val="34551909"/>
    <w:rsid w:val="34EF0750"/>
    <w:rsid w:val="37DF0F40"/>
    <w:rsid w:val="38113F16"/>
    <w:rsid w:val="39923519"/>
    <w:rsid w:val="39D746A9"/>
    <w:rsid w:val="3B0C28D2"/>
    <w:rsid w:val="3B6B70E6"/>
    <w:rsid w:val="3BBC29E6"/>
    <w:rsid w:val="3C195A73"/>
    <w:rsid w:val="3C773189"/>
    <w:rsid w:val="3C9E1DEF"/>
    <w:rsid w:val="3E4039A7"/>
    <w:rsid w:val="3F473ED8"/>
    <w:rsid w:val="3F6E40E8"/>
    <w:rsid w:val="3FA2129F"/>
    <w:rsid w:val="3FA2F1B6"/>
    <w:rsid w:val="3FAF5EDD"/>
    <w:rsid w:val="430048E7"/>
    <w:rsid w:val="43495A4D"/>
    <w:rsid w:val="44BA72B5"/>
    <w:rsid w:val="452372FE"/>
    <w:rsid w:val="478443A9"/>
    <w:rsid w:val="47CB7838"/>
    <w:rsid w:val="49C83B6D"/>
    <w:rsid w:val="4A6A36C4"/>
    <w:rsid w:val="4A6F7DDA"/>
    <w:rsid w:val="4B0250E0"/>
    <w:rsid w:val="4C5B1909"/>
    <w:rsid w:val="4C7D8ED2"/>
    <w:rsid w:val="4D6F7816"/>
    <w:rsid w:val="4F7C169A"/>
    <w:rsid w:val="4FFE9DB0"/>
    <w:rsid w:val="4FFF4841"/>
    <w:rsid w:val="510A19C2"/>
    <w:rsid w:val="539A5AE2"/>
    <w:rsid w:val="540E4940"/>
    <w:rsid w:val="54B20366"/>
    <w:rsid w:val="56A725B8"/>
    <w:rsid w:val="5764425C"/>
    <w:rsid w:val="57D23CC4"/>
    <w:rsid w:val="57D32355"/>
    <w:rsid w:val="581A61D6"/>
    <w:rsid w:val="5BCF1086"/>
    <w:rsid w:val="5BF44C57"/>
    <w:rsid w:val="5E761C8C"/>
    <w:rsid w:val="5EE96990"/>
    <w:rsid w:val="5F941CF7"/>
    <w:rsid w:val="5FDF1138"/>
    <w:rsid w:val="5FDF9533"/>
    <w:rsid w:val="602B7FCA"/>
    <w:rsid w:val="60CA5DE3"/>
    <w:rsid w:val="619A2136"/>
    <w:rsid w:val="62532577"/>
    <w:rsid w:val="6394208B"/>
    <w:rsid w:val="63FA6EBC"/>
    <w:rsid w:val="64B503F4"/>
    <w:rsid w:val="653FBB85"/>
    <w:rsid w:val="654C3747"/>
    <w:rsid w:val="65BA3CDE"/>
    <w:rsid w:val="65BF168B"/>
    <w:rsid w:val="67AA8232"/>
    <w:rsid w:val="686277DE"/>
    <w:rsid w:val="6A3738D2"/>
    <w:rsid w:val="6B59096C"/>
    <w:rsid w:val="6D2F1121"/>
    <w:rsid w:val="6F280D81"/>
    <w:rsid w:val="6F316830"/>
    <w:rsid w:val="6FBBA6B6"/>
    <w:rsid w:val="6FE68D07"/>
    <w:rsid w:val="712C1ED0"/>
    <w:rsid w:val="72216B0D"/>
    <w:rsid w:val="725E663B"/>
    <w:rsid w:val="73FD7D4B"/>
    <w:rsid w:val="740F314F"/>
    <w:rsid w:val="75FE39AB"/>
    <w:rsid w:val="766703E1"/>
    <w:rsid w:val="76D77C95"/>
    <w:rsid w:val="76E6316E"/>
    <w:rsid w:val="7758397C"/>
    <w:rsid w:val="77BE05FC"/>
    <w:rsid w:val="77E7AE7B"/>
    <w:rsid w:val="79B7099F"/>
    <w:rsid w:val="79CF3CE9"/>
    <w:rsid w:val="7AEB0FDE"/>
    <w:rsid w:val="7BA71104"/>
    <w:rsid w:val="7BDF78DB"/>
    <w:rsid w:val="7BFF97F0"/>
    <w:rsid w:val="7D6F0FDF"/>
    <w:rsid w:val="7EBE0A39"/>
    <w:rsid w:val="7FDD28BB"/>
    <w:rsid w:val="7FE752FA"/>
    <w:rsid w:val="7FF3C76B"/>
    <w:rsid w:val="7FFB1B2E"/>
    <w:rsid w:val="8F9FF32B"/>
    <w:rsid w:val="97FB7599"/>
    <w:rsid w:val="9FEDED5D"/>
    <w:rsid w:val="B79E93D3"/>
    <w:rsid w:val="B9EFC973"/>
    <w:rsid w:val="BB375CA6"/>
    <w:rsid w:val="BC5FA67A"/>
    <w:rsid w:val="BDEF45BD"/>
    <w:rsid w:val="BFFB83E7"/>
    <w:rsid w:val="CDFC9133"/>
    <w:rsid w:val="CFBBA0B5"/>
    <w:rsid w:val="CFFF3E91"/>
    <w:rsid w:val="DBDE86C3"/>
    <w:rsid w:val="DCFF6845"/>
    <w:rsid w:val="DFB4BBD5"/>
    <w:rsid w:val="DFDF4F8D"/>
    <w:rsid w:val="EDFB9203"/>
    <w:rsid w:val="EFF774B0"/>
    <w:rsid w:val="EFFFA107"/>
    <w:rsid w:val="F1EFE786"/>
    <w:rsid w:val="F9AAE307"/>
    <w:rsid w:val="FADE50FC"/>
    <w:rsid w:val="FBFAC21B"/>
    <w:rsid w:val="FCAF8589"/>
    <w:rsid w:val="FD6E48C5"/>
    <w:rsid w:val="FDB3868D"/>
    <w:rsid w:val="FDC6BC06"/>
    <w:rsid w:val="FDEF9CC1"/>
    <w:rsid w:val="FEAD400E"/>
    <w:rsid w:val="FF97ECE0"/>
    <w:rsid w:val="FFBF243C"/>
    <w:rsid w:val="FFF537DB"/>
    <w:rsid w:val="FFF7C0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rFonts w:ascii="Calibri" w:hAnsi="Calibri" w:cs="Times New Roman"/>
    </w:rPr>
  </w:style>
  <w:style w:type="paragraph" w:styleId="3">
    <w:name w:val="Body Text"/>
    <w:basedOn w:val="1"/>
    <w:next w:val="4"/>
    <w:qFormat/>
    <w:uiPriority w:val="0"/>
    <w:rPr>
      <w:rFonts w:ascii="Calibri" w:hAnsi="Calibri" w:eastAsia="仿宋_GB2312"/>
      <w:sz w:val="32"/>
      <w:szCs w:val="20"/>
    </w:rPr>
  </w:style>
  <w:style w:type="paragraph" w:styleId="4">
    <w:name w:val="toc 5"/>
    <w:basedOn w:val="1"/>
    <w:next w:val="1"/>
    <w:qFormat/>
    <w:uiPriority w:val="0"/>
    <w:pPr>
      <w:ind w:left="1680"/>
    </w:pPr>
  </w:style>
  <w:style w:type="paragraph" w:styleId="6">
    <w:name w:val="annotation text"/>
    <w:basedOn w:val="1"/>
    <w:qFormat/>
    <w:uiPriority w:val="0"/>
    <w:pPr>
      <w:jc w:val="left"/>
    </w:pPr>
  </w:style>
  <w:style w:type="paragraph" w:styleId="7">
    <w:name w:val="Body Text Indent"/>
    <w:basedOn w:val="1"/>
    <w:unhideWhenUsed/>
    <w:qFormat/>
    <w:uiPriority w:val="99"/>
    <w:pPr>
      <w:spacing w:after="120"/>
      <w:ind w:left="420" w:leftChars="200"/>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1">
    <w:name w:val="Body Text First Indent 2"/>
    <w:basedOn w:val="7"/>
    <w:qFormat/>
    <w:uiPriority w:val="0"/>
    <w:pPr>
      <w:spacing w:after="0" w:line="360" w:lineRule="auto"/>
      <w:ind w:left="0" w:leftChars="0" w:firstLine="1040" w:firstLineChars="200"/>
    </w:pPr>
    <w:rPr>
      <w:sz w:val="24"/>
    </w:rPr>
  </w:style>
  <w:style w:type="character" w:styleId="14">
    <w:name w:val="Strong"/>
    <w:basedOn w:val="13"/>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2942</Words>
  <Characters>2945</Characters>
  <Lines>0</Lines>
  <Paragraphs>0</Paragraphs>
  <TotalTime>0</TotalTime>
  <ScaleCrop>false</ScaleCrop>
  <LinksUpToDate>false</LinksUpToDate>
  <CharactersWithSpaces>2947</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2022-08-30T22:40:00Z</dcterms:created>
  <dc:creator>xmm</dc:creator>
  <cp:lastModifiedBy>user</cp:lastModifiedBy>
  <dcterms:modified xsi:type="dcterms:W3CDTF">2026-01-06T03:15:33Z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2052-12.8.2.18606</vt:lpwstr>
  </property>
  <property fmtid="{D5CDD505-2E9C-101B-9397-08002B2CF9AE}" pid="3" name="ICV">
    <vt:lpwstr>6636E473A53E4629ABB254F9DED936BD_13</vt:lpwstr>
  </property>
  <property fmtid="{D5CDD505-2E9C-101B-9397-08002B2CF9AE}" pid="4" name="KSOTemplateDocerSaveRecord">
    <vt:lpwstr>eyJoZGlkIjoiNWY1YmNlZDk0NjdhNjIwYzdjOWVmNTVhODAzM2RjZTciLCJ1c2VySWQiOiIxNTk4NzE5Nzg0In0=</vt:lpwstr>
  </property>
</Properties>
</file>