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3DAD0C">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90</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号</w:t>
      </w:r>
    </w:p>
    <w:p w14:paraId="46FD2A0B">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番禺区政协十</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届</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次会议提案</w:t>
      </w:r>
    </w:p>
    <w:tbl>
      <w:tblPr>
        <w:tblStyle w:val="5"/>
        <w:tblW w:w="9195" w:type="dxa"/>
        <w:tblInd w:w="-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9"/>
        <w:gridCol w:w="3492"/>
        <w:gridCol w:w="1467"/>
        <w:gridCol w:w="2207"/>
      </w:tblGrid>
      <w:tr w14:paraId="1C306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tcBorders>
              <w:top w:val="single" w:color="auto" w:sz="4" w:space="0"/>
              <w:left w:val="single" w:color="auto" w:sz="4" w:space="0"/>
              <w:bottom w:val="single" w:color="auto" w:sz="4" w:space="0"/>
              <w:right w:val="single" w:color="auto" w:sz="4" w:space="0"/>
            </w:tcBorders>
            <w:noWrap w:val="0"/>
            <w:vAlign w:val="center"/>
          </w:tcPr>
          <w:p w14:paraId="55E04307">
            <w:pPr>
              <w:spacing w:line="680" w:lineRule="exact"/>
              <w:jc w:val="center"/>
              <w:rPr>
                <w:rFonts w:ascii="仿宋_GB2312" w:hAnsi="宋体" w:eastAsia="仿宋_GB2312"/>
                <w:sz w:val="32"/>
                <w:szCs w:val="32"/>
              </w:rPr>
            </w:pPr>
            <w:r>
              <w:rPr>
                <w:rFonts w:hint="eastAsia" w:ascii="仿宋_GB2312" w:hAnsi="宋体" w:eastAsia="仿宋_GB2312"/>
                <w:sz w:val="32"/>
                <w:szCs w:val="32"/>
              </w:rPr>
              <w:t>题</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目</w:t>
            </w:r>
          </w:p>
        </w:tc>
        <w:tc>
          <w:tcPr>
            <w:tcW w:w="7166" w:type="dxa"/>
            <w:gridSpan w:val="3"/>
            <w:tcBorders>
              <w:top w:val="single" w:color="auto" w:sz="4" w:space="0"/>
              <w:left w:val="single" w:color="auto" w:sz="4" w:space="0"/>
              <w:bottom w:val="single" w:color="auto" w:sz="4" w:space="0"/>
              <w:right w:val="single" w:color="auto" w:sz="4" w:space="0"/>
            </w:tcBorders>
            <w:noWrap w:val="0"/>
            <w:vAlign w:val="center"/>
          </w:tcPr>
          <w:p w14:paraId="2727E096">
            <w:pPr>
              <w:keepNext w:val="0"/>
              <w:keepLines w:val="0"/>
              <w:pageBreakBefore w:val="0"/>
              <w:shd w:val="clear" w:color="auto" w:fill="auto"/>
              <w:kinsoku/>
              <w:wordWrap/>
              <w:overflowPunct/>
              <w:topLinePunct w:val="0"/>
              <w:autoSpaceDE/>
              <w:autoSpaceDN/>
              <w:bidi w:val="0"/>
              <w:adjustRightInd/>
              <w:snapToGrid/>
              <w:spacing w:beforeAutospacing="0" w:afterAutospacing="0" w:line="560" w:lineRule="exact"/>
              <w:jc w:val="center"/>
              <w:textAlignment w:val="auto"/>
              <w:rPr>
                <w:rFonts w:hint="default" w:ascii="仿宋_GB2312" w:hAnsi="宋体" w:eastAsia="仿宋_GB2312"/>
                <w:sz w:val="32"/>
                <w:szCs w:val="32"/>
                <w:lang w:val="en-US" w:eastAsia="zh-CN"/>
              </w:rPr>
            </w:pPr>
            <w:r>
              <w:rPr>
                <w:rFonts w:hint="eastAsia" w:ascii="仿宋_GB2312" w:hAnsi="宋体" w:eastAsia="仿宋_GB2312" w:cs="Times New Roman"/>
                <w:sz w:val="32"/>
                <w:szCs w:val="32"/>
                <w:lang w:val="en-US" w:eastAsia="zh-CN"/>
              </w:rPr>
              <w:t>进一步促进番禺区文旅产业发展以吸引更多港澳台侨同胞来访的提案</w:t>
            </w:r>
          </w:p>
        </w:tc>
      </w:tr>
      <w:tr w14:paraId="694A4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0" w:hRule="atLeast"/>
        </w:trPr>
        <w:tc>
          <w:tcPr>
            <w:tcW w:w="2029" w:type="dxa"/>
            <w:tcBorders>
              <w:top w:val="single" w:color="auto" w:sz="4" w:space="0"/>
              <w:left w:val="single" w:color="auto" w:sz="4" w:space="0"/>
              <w:right w:val="single" w:color="auto" w:sz="4" w:space="0"/>
            </w:tcBorders>
            <w:noWrap w:val="0"/>
            <w:vAlign w:val="center"/>
          </w:tcPr>
          <w:p w14:paraId="4AD97ED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sz w:val="32"/>
                <w:szCs w:val="32"/>
              </w:rPr>
            </w:pPr>
            <w:r>
              <w:rPr>
                <w:rFonts w:hint="eastAsia" w:ascii="仿宋_GB2312" w:hAnsi="宋体" w:eastAsia="仿宋_GB2312"/>
                <w:sz w:val="32"/>
                <w:szCs w:val="32"/>
              </w:rPr>
              <w:t>提</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案</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者</w:t>
            </w:r>
          </w:p>
          <w:p w14:paraId="55F8D1E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仿宋_GB2312"/>
                <w:lang w:eastAsia="zh-CN"/>
              </w:rPr>
            </w:pPr>
            <w:r>
              <w:rPr>
                <w:rFonts w:hint="eastAsia" w:ascii="仿宋_GB2312" w:hAnsi="宋体" w:eastAsia="仿宋_GB2312"/>
                <w:sz w:val="28"/>
                <w:szCs w:val="28"/>
                <w:lang w:val="en-US" w:eastAsia="zh-CN"/>
              </w:rPr>
              <w:t>（括号内注明主笔人）</w:t>
            </w:r>
          </w:p>
        </w:tc>
        <w:tc>
          <w:tcPr>
            <w:tcW w:w="3492" w:type="dxa"/>
            <w:tcBorders>
              <w:top w:val="single" w:color="auto" w:sz="4" w:space="0"/>
              <w:left w:val="single" w:color="auto" w:sz="4" w:space="0"/>
              <w:bottom w:val="single" w:color="auto" w:sz="4" w:space="0"/>
              <w:right w:val="single" w:color="auto" w:sz="4" w:space="0"/>
            </w:tcBorders>
            <w:noWrap w:val="0"/>
            <w:vAlign w:val="center"/>
          </w:tcPr>
          <w:p w14:paraId="4846C20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sz w:val="32"/>
                <w:szCs w:val="32"/>
                <w:lang w:eastAsia="zh-CN"/>
              </w:rPr>
            </w:pPr>
            <w:r>
              <w:rPr>
                <w:rFonts w:hint="eastAsia" w:ascii="仿宋_GB2312" w:hAnsi="宋体" w:eastAsia="仿宋_GB2312" w:cs="Times New Roman"/>
                <w:sz w:val="32"/>
                <w:szCs w:val="32"/>
                <w:lang w:val="en-US" w:eastAsia="zh-CN"/>
              </w:rPr>
              <w:t>马轶超</w:t>
            </w:r>
          </w:p>
        </w:tc>
        <w:tc>
          <w:tcPr>
            <w:tcW w:w="1467" w:type="dxa"/>
            <w:tcBorders>
              <w:top w:val="single" w:color="auto" w:sz="4" w:space="0"/>
              <w:left w:val="single" w:color="auto" w:sz="4" w:space="0"/>
              <w:right w:val="single" w:color="auto" w:sz="4" w:space="0"/>
            </w:tcBorders>
            <w:noWrap w:val="0"/>
            <w:vAlign w:val="center"/>
          </w:tcPr>
          <w:p w14:paraId="2185383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联系人</w:t>
            </w:r>
          </w:p>
        </w:tc>
        <w:tc>
          <w:tcPr>
            <w:tcW w:w="2207" w:type="dxa"/>
            <w:tcBorders>
              <w:top w:val="single" w:color="auto" w:sz="4" w:space="0"/>
              <w:left w:val="single" w:color="auto" w:sz="4" w:space="0"/>
              <w:right w:val="single" w:color="auto" w:sz="4" w:space="0"/>
            </w:tcBorders>
            <w:noWrap w:val="0"/>
            <w:vAlign w:val="center"/>
          </w:tcPr>
          <w:p w14:paraId="29C92A0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宋体" w:eastAsia="仿宋_GB2312"/>
                <w:sz w:val="32"/>
                <w:szCs w:val="32"/>
                <w:lang w:val="en-US" w:eastAsia="zh-CN"/>
              </w:rPr>
            </w:pPr>
          </w:p>
        </w:tc>
      </w:tr>
      <w:tr w14:paraId="6C667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tcBorders>
              <w:top w:val="single" w:color="auto" w:sz="4" w:space="0"/>
              <w:left w:val="single" w:color="auto" w:sz="4" w:space="0"/>
              <w:bottom w:val="single" w:color="auto" w:sz="4" w:space="0"/>
              <w:right w:val="single" w:color="auto" w:sz="4" w:space="0"/>
            </w:tcBorders>
            <w:noWrap w:val="0"/>
            <w:vAlign w:val="center"/>
          </w:tcPr>
          <w:p w14:paraId="7AFFB31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工作单位</w:t>
            </w:r>
          </w:p>
        </w:tc>
        <w:tc>
          <w:tcPr>
            <w:tcW w:w="3492" w:type="dxa"/>
            <w:tcBorders>
              <w:top w:val="single" w:color="auto" w:sz="4" w:space="0"/>
              <w:left w:val="single" w:color="auto" w:sz="4" w:space="0"/>
              <w:bottom w:val="single" w:color="auto" w:sz="4" w:space="0"/>
              <w:right w:val="single" w:color="auto" w:sz="4" w:space="0"/>
            </w:tcBorders>
            <w:noWrap w:val="0"/>
            <w:vAlign w:val="center"/>
          </w:tcPr>
          <w:p w14:paraId="6EF29D44">
            <w:pPr>
              <w:keepNext w:val="0"/>
              <w:keepLines w:val="0"/>
              <w:pageBreakBefore w:val="0"/>
              <w:widowControl w:val="0"/>
              <w:kinsoku/>
              <w:wordWrap/>
              <w:overflowPunct/>
              <w:topLinePunct w:val="0"/>
              <w:autoSpaceDE/>
              <w:autoSpaceDN/>
              <w:bidi w:val="0"/>
              <w:adjustRightInd/>
              <w:snapToGrid/>
              <w:spacing w:beforeLines="0" w:afterLines="0" w:line="560" w:lineRule="exact"/>
              <w:jc w:val="left"/>
              <w:textAlignment w:val="auto"/>
              <w:rPr>
                <w:rFonts w:hint="eastAsia" w:ascii="仿宋_GB2312" w:hAnsi="宋体" w:eastAsia="仿宋_GB2312"/>
                <w:sz w:val="32"/>
                <w:szCs w:val="32"/>
                <w:lang w:val="en-US" w:eastAsia="zh-CN"/>
              </w:rPr>
            </w:pPr>
            <w:r>
              <w:rPr>
                <w:rFonts w:hint="eastAsia" w:ascii="FangSong_GB2312" w:hAnsi="FangSong_GB2312" w:eastAsia="FangSong_GB2312"/>
                <w:sz w:val="32"/>
                <w:szCs w:val="24"/>
              </w:rPr>
              <w:t>香港广州创新及科技协会、香港观塘康乐区居民协会社区、香港观塘区、游学教育有限公司董事</w:t>
            </w:r>
          </w:p>
        </w:tc>
        <w:tc>
          <w:tcPr>
            <w:tcW w:w="1467" w:type="dxa"/>
            <w:tcBorders>
              <w:top w:val="single" w:color="auto" w:sz="4" w:space="0"/>
              <w:left w:val="single" w:color="auto" w:sz="4" w:space="0"/>
              <w:bottom w:val="single" w:color="auto" w:sz="4" w:space="0"/>
              <w:right w:val="single" w:color="auto" w:sz="4" w:space="0"/>
            </w:tcBorders>
            <w:noWrap w:val="0"/>
            <w:vAlign w:val="center"/>
          </w:tcPr>
          <w:p w14:paraId="217278C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207" w:type="dxa"/>
            <w:tcBorders>
              <w:top w:val="single" w:color="auto" w:sz="4" w:space="0"/>
              <w:left w:val="single" w:color="auto" w:sz="4" w:space="0"/>
              <w:bottom w:val="single" w:color="auto" w:sz="4" w:space="0"/>
              <w:right w:val="single" w:color="auto" w:sz="4" w:space="0"/>
            </w:tcBorders>
            <w:noWrap w:val="0"/>
            <w:vAlign w:val="center"/>
          </w:tcPr>
          <w:p w14:paraId="2C0FEA4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sz w:val="32"/>
                <w:szCs w:val="32"/>
                <w:lang w:val="en-US" w:eastAsia="zh-CN"/>
              </w:rPr>
            </w:pPr>
            <w:r>
              <w:rPr>
                <w:rFonts w:hint="eastAsia" w:ascii="FangSong_GB2312" w:hAnsi="FangSong_GB2312" w:eastAsia="FangSong_GB2312"/>
                <w:sz w:val="32"/>
                <w:szCs w:val="24"/>
              </w:rPr>
              <w:t>理事长</w:t>
            </w:r>
            <w:r>
              <w:rPr>
                <w:rFonts w:hint="eastAsia" w:ascii="FangSong_GB2312" w:hAnsi="FangSong_GB2312" w:eastAsia="FangSong_GB2312"/>
                <w:sz w:val="32"/>
                <w:szCs w:val="24"/>
                <w:lang w:val="en-US" w:eastAsia="zh-CN"/>
              </w:rPr>
              <w:t>、</w:t>
            </w:r>
            <w:r>
              <w:rPr>
                <w:rFonts w:hint="eastAsia" w:ascii="FangSong_GB2312" w:hAnsi="FangSong_GB2312" w:eastAsia="FangSong_GB2312"/>
                <w:sz w:val="32"/>
                <w:szCs w:val="24"/>
              </w:rPr>
              <w:t>主任</w:t>
            </w:r>
            <w:r>
              <w:rPr>
                <w:rFonts w:hint="eastAsia" w:ascii="FangSong_GB2312" w:hAnsi="FangSong_GB2312" w:eastAsia="FangSong_GB2312"/>
                <w:sz w:val="32"/>
                <w:szCs w:val="24"/>
                <w:lang w:eastAsia="zh-CN"/>
              </w:rPr>
              <w:t>、</w:t>
            </w:r>
            <w:r>
              <w:rPr>
                <w:rFonts w:hint="eastAsia" w:ascii="FangSong_GB2312" w:hAnsi="FangSong_GB2312" w:eastAsia="FangSong_GB2312"/>
                <w:sz w:val="32"/>
                <w:szCs w:val="24"/>
              </w:rPr>
              <w:t>议员</w:t>
            </w:r>
            <w:r>
              <w:rPr>
                <w:rFonts w:hint="eastAsia" w:ascii="FangSong_GB2312" w:hAnsi="FangSong_GB2312" w:eastAsia="FangSong_GB2312"/>
                <w:sz w:val="32"/>
                <w:szCs w:val="24"/>
                <w:lang w:eastAsia="zh-CN"/>
              </w:rPr>
              <w:t>、</w:t>
            </w:r>
            <w:r>
              <w:rPr>
                <w:rFonts w:hint="eastAsia" w:ascii="FangSong_GB2312" w:hAnsi="FangSong_GB2312" w:eastAsia="FangSong_GB2312"/>
                <w:sz w:val="32"/>
                <w:szCs w:val="24"/>
              </w:rPr>
              <w:t>总经理</w:t>
            </w:r>
          </w:p>
        </w:tc>
      </w:tr>
      <w:tr w14:paraId="4B3DD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tcBorders>
              <w:top w:val="single" w:color="auto" w:sz="4" w:space="0"/>
              <w:left w:val="single" w:color="auto" w:sz="4" w:space="0"/>
              <w:bottom w:val="single" w:color="auto" w:sz="4" w:space="0"/>
              <w:right w:val="single" w:color="auto" w:sz="4" w:space="0"/>
            </w:tcBorders>
            <w:noWrap w:val="0"/>
            <w:vAlign w:val="center"/>
          </w:tcPr>
          <w:p w14:paraId="29C1EF6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手机号码</w:t>
            </w:r>
          </w:p>
        </w:tc>
        <w:tc>
          <w:tcPr>
            <w:tcW w:w="3492" w:type="dxa"/>
            <w:tcBorders>
              <w:top w:val="single" w:color="auto" w:sz="4" w:space="0"/>
              <w:left w:val="single" w:color="auto" w:sz="4" w:space="0"/>
              <w:bottom w:val="single" w:color="auto" w:sz="4" w:space="0"/>
              <w:right w:val="single" w:color="auto" w:sz="4" w:space="0"/>
            </w:tcBorders>
            <w:noWrap w:val="0"/>
            <w:vAlign w:val="center"/>
          </w:tcPr>
          <w:p w14:paraId="3031C32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宋体" w:eastAsia="仿宋_GB2312"/>
                <w:sz w:val="32"/>
                <w:szCs w:val="32"/>
                <w:lang w:val="en-US"/>
              </w:rPr>
            </w:pPr>
          </w:p>
        </w:tc>
        <w:tc>
          <w:tcPr>
            <w:tcW w:w="1467" w:type="dxa"/>
            <w:tcBorders>
              <w:top w:val="single" w:color="auto" w:sz="4" w:space="0"/>
              <w:left w:val="single" w:color="auto" w:sz="4" w:space="0"/>
              <w:bottom w:val="single" w:color="auto" w:sz="4" w:space="0"/>
              <w:right w:val="single" w:color="auto" w:sz="4" w:space="0"/>
            </w:tcBorders>
            <w:noWrap w:val="0"/>
            <w:vAlign w:val="center"/>
          </w:tcPr>
          <w:p w14:paraId="4E19F0C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pacing w:val="-28"/>
                <w:sz w:val="32"/>
                <w:szCs w:val="32"/>
              </w:rPr>
              <w:t>办公电话</w:t>
            </w:r>
          </w:p>
        </w:tc>
        <w:tc>
          <w:tcPr>
            <w:tcW w:w="2207" w:type="dxa"/>
            <w:tcBorders>
              <w:top w:val="single" w:color="auto" w:sz="4" w:space="0"/>
              <w:left w:val="single" w:color="auto" w:sz="4" w:space="0"/>
              <w:bottom w:val="single" w:color="auto" w:sz="4" w:space="0"/>
              <w:right w:val="single" w:color="auto" w:sz="4" w:space="0"/>
            </w:tcBorders>
            <w:noWrap w:val="0"/>
            <w:vAlign w:val="center"/>
          </w:tcPr>
          <w:p w14:paraId="6617C15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宋体" w:eastAsia="仿宋_GB2312"/>
                <w:sz w:val="32"/>
                <w:szCs w:val="32"/>
                <w:lang w:val="en-US" w:eastAsia="zh-CN"/>
              </w:rPr>
            </w:pPr>
          </w:p>
        </w:tc>
      </w:tr>
      <w:tr w14:paraId="4034C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tcBorders>
              <w:top w:val="single" w:color="auto" w:sz="4" w:space="0"/>
              <w:left w:val="single" w:color="auto" w:sz="4" w:space="0"/>
              <w:bottom w:val="single" w:color="auto" w:sz="4" w:space="0"/>
              <w:right w:val="single" w:color="auto" w:sz="4" w:space="0"/>
            </w:tcBorders>
            <w:noWrap w:val="0"/>
            <w:vAlign w:val="center"/>
          </w:tcPr>
          <w:p w14:paraId="0B10A4D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通讯地址</w:t>
            </w:r>
          </w:p>
        </w:tc>
        <w:tc>
          <w:tcPr>
            <w:tcW w:w="7166" w:type="dxa"/>
            <w:gridSpan w:val="3"/>
            <w:tcBorders>
              <w:top w:val="single" w:color="auto" w:sz="4" w:space="0"/>
              <w:left w:val="single" w:color="auto" w:sz="4" w:space="0"/>
              <w:bottom w:val="single" w:color="auto" w:sz="4" w:space="0"/>
              <w:right w:val="single" w:color="auto" w:sz="4" w:space="0"/>
            </w:tcBorders>
            <w:noWrap w:val="0"/>
            <w:vAlign w:val="center"/>
          </w:tcPr>
          <w:p w14:paraId="7EE0FA4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宋体" w:eastAsia="仿宋_GB2312"/>
                <w:sz w:val="32"/>
                <w:szCs w:val="32"/>
                <w:lang w:val="en-US" w:eastAsia="zh-CN"/>
              </w:rPr>
            </w:pPr>
          </w:p>
        </w:tc>
      </w:tr>
      <w:tr w14:paraId="1EE10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2029" w:type="dxa"/>
            <w:tcBorders>
              <w:top w:val="single" w:color="auto" w:sz="4" w:space="0"/>
              <w:left w:val="single" w:color="auto" w:sz="4" w:space="0"/>
              <w:bottom w:val="single" w:color="auto" w:sz="4" w:space="0"/>
              <w:right w:val="single" w:color="auto" w:sz="4" w:space="0"/>
            </w:tcBorders>
            <w:noWrap w:val="0"/>
            <w:vAlign w:val="center"/>
          </w:tcPr>
          <w:p w14:paraId="7C8FC3D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pacing w:val="-14"/>
                <w:sz w:val="32"/>
                <w:szCs w:val="32"/>
              </w:rPr>
            </w:pPr>
            <w:r>
              <w:rPr>
                <w:rFonts w:hint="eastAsia" w:ascii="仿宋_GB2312" w:hAnsi="宋体" w:eastAsia="仿宋_GB2312"/>
                <w:sz w:val="32"/>
                <w:szCs w:val="32"/>
              </w:rPr>
              <w:t>联名提案人</w:t>
            </w:r>
          </w:p>
        </w:tc>
        <w:tc>
          <w:tcPr>
            <w:tcW w:w="7166" w:type="dxa"/>
            <w:gridSpan w:val="3"/>
            <w:tcBorders>
              <w:top w:val="single" w:color="auto" w:sz="4" w:space="0"/>
              <w:left w:val="single" w:color="auto" w:sz="4" w:space="0"/>
              <w:bottom w:val="single" w:color="auto" w:sz="4" w:space="0"/>
              <w:right w:val="single" w:color="auto" w:sz="4" w:space="0"/>
            </w:tcBorders>
            <w:noWrap w:val="0"/>
            <w:vAlign w:val="top"/>
          </w:tcPr>
          <w:p w14:paraId="188C1264">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宋体" w:eastAsia="仿宋_GB2312"/>
                <w:sz w:val="32"/>
                <w:szCs w:val="32"/>
              </w:rPr>
            </w:pPr>
          </w:p>
        </w:tc>
      </w:tr>
      <w:tr w14:paraId="4BCB1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9" w:hRule="atLeast"/>
        </w:trPr>
        <w:tc>
          <w:tcPr>
            <w:tcW w:w="2029" w:type="dxa"/>
            <w:tcBorders>
              <w:top w:val="single" w:color="auto" w:sz="4" w:space="0"/>
              <w:left w:val="single" w:color="auto" w:sz="4" w:space="0"/>
              <w:bottom w:val="single" w:color="auto" w:sz="4" w:space="0"/>
              <w:right w:val="single" w:color="auto" w:sz="4" w:space="0"/>
            </w:tcBorders>
            <w:noWrap w:val="0"/>
            <w:vAlign w:val="center"/>
          </w:tcPr>
          <w:p w14:paraId="1491AE9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提案委员会</w:t>
            </w:r>
          </w:p>
          <w:p w14:paraId="184FD5A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审查意见</w:t>
            </w:r>
          </w:p>
        </w:tc>
        <w:tc>
          <w:tcPr>
            <w:tcW w:w="7166" w:type="dxa"/>
            <w:gridSpan w:val="3"/>
            <w:tcBorders>
              <w:top w:val="single" w:color="auto" w:sz="4" w:space="0"/>
              <w:left w:val="single" w:color="auto" w:sz="4" w:space="0"/>
              <w:bottom w:val="single" w:color="auto" w:sz="4" w:space="0"/>
              <w:right w:val="single" w:color="auto" w:sz="4" w:space="0"/>
            </w:tcBorders>
            <w:noWrap w:val="0"/>
            <w:vAlign w:val="center"/>
          </w:tcPr>
          <w:p w14:paraId="28F3489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lang w:val="en-US" w:eastAsia="zh-CN"/>
              </w:rPr>
              <w:t>同意立案</w:t>
            </w:r>
          </w:p>
        </w:tc>
      </w:tr>
    </w:tbl>
    <w:p w14:paraId="3F0DCE2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14:paraId="26E0CE7A">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14:paraId="600903DC">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sz w:val="30"/>
          <w:szCs w:val="30"/>
        </w:rPr>
      </w:pPr>
      <w:r>
        <w:rPr>
          <w:rFonts w:hint="eastAsia" w:ascii="宋体" w:hAnsi="宋体"/>
          <w:sz w:val="30"/>
          <w:szCs w:val="30"/>
          <w:lang w:eastAsia="zh-CN"/>
        </w:rPr>
        <w:t>是（</w:t>
      </w:r>
      <w:r>
        <w:rPr>
          <w:rFonts w:hint="eastAsia" w:ascii="宋体" w:hAnsi="宋体"/>
          <w:sz w:val="30"/>
          <w:szCs w:val="30"/>
          <w:lang w:val="en-US" w:eastAsia="zh-CN"/>
        </w:rPr>
        <w:t>√</w:t>
      </w:r>
      <w:r>
        <w:rPr>
          <w:rFonts w:hint="eastAsia" w:ascii="宋体" w:hAnsi="宋体"/>
          <w:sz w:val="30"/>
          <w:szCs w:val="30"/>
          <w:lang w:eastAsia="zh-CN"/>
        </w:rPr>
        <w:t>）</w:t>
      </w:r>
      <w:r>
        <w:rPr>
          <w:rFonts w:ascii="宋体" w:hAnsi="宋体"/>
          <w:sz w:val="30"/>
          <w:szCs w:val="30"/>
        </w:rPr>
        <w:t xml:space="preserve">  </w:t>
      </w:r>
      <w:r>
        <w:rPr>
          <w:rFonts w:hint="eastAsia" w:ascii="宋体" w:hAnsi="宋体"/>
          <w:sz w:val="30"/>
          <w:szCs w:val="30"/>
          <w:lang w:eastAsia="zh-CN"/>
        </w:rPr>
        <w:t>否（）</w:t>
      </w:r>
      <w:r>
        <w:rPr>
          <w:rFonts w:ascii="宋体" w:hAnsi="宋体"/>
          <w:sz w:val="30"/>
          <w:szCs w:val="30"/>
        </w:rPr>
        <w:t xml:space="preserve"> </w:t>
      </w:r>
    </w:p>
    <w:p w14:paraId="7A56CA88">
      <w:pPr>
        <w:rPr>
          <w:rFonts w:ascii="宋体" w:hAnsi="宋体"/>
          <w:sz w:val="30"/>
          <w:szCs w:val="30"/>
        </w:rPr>
      </w:pPr>
      <w:r>
        <w:rPr>
          <w:rFonts w:ascii="宋体" w:hAnsi="宋体"/>
          <w:sz w:val="30"/>
          <w:szCs w:val="30"/>
        </w:rPr>
        <w:br w:type="page"/>
      </w:r>
    </w:p>
    <w:p w14:paraId="373E676D">
      <w:pPr>
        <w:rPr>
          <w:rFonts w:hint="eastAsia"/>
        </w:rPr>
      </w:pPr>
    </w:p>
    <w:p w14:paraId="4F29E96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理由：</w:t>
      </w:r>
    </w:p>
    <w:p w14:paraId="656EBC3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自从新冠疫情过去，我全力投入文旅工作，推动香港市民、学生、企业家到中国内地旅游、研学、商务旅游、会议旅游等。</w:t>
      </w:r>
    </w:p>
    <w:p w14:paraId="601CB92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过去两年香港政府透过民政及青年局和教育局资助香港青年团体和中小学举办爱国主义教育游学项目。对此，本人大力向各大学校和团体推荐番禺，先后带领多批中小学生来番禺研学参观大学城、与本区学校互动；也有带领企业家来番禺考察；也有引领香港老百姓来番禺旅游购物等。</w:t>
      </w:r>
    </w:p>
    <w:p w14:paraId="671692D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因此本人，建议加强在港澳台侨界推广番禺文旅、研学和工业旅游。</w:t>
      </w:r>
    </w:p>
    <w:p w14:paraId="30D74A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番禺区作为广府文化发源地之一，与港澳台侨地区历史渊源深厚、文化同根同源，具备吸引港澳台侨同胞文旅交流的独特优势。近年来，随着粤港澳大湾区深度融合和两岸三地文化交流的深化，港澳台侨同胞对岭南文化体验、寻根旅游及休闲度假需求日益增长。然而，当前番禺区针对港澳台市场的文旅产品供给仍存在以下不足：  </w:t>
      </w:r>
    </w:p>
    <w:p w14:paraId="093201C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1.文化共鸣挖掘不足：加强针对港澳台侨同胞的定制化文化体验项目。  </w:t>
      </w:r>
    </w:p>
    <w:p w14:paraId="502B76A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2.跨境交通便利性待提升：高铁等接驳效率及信息指引不足，加入VIP服务，例如：高铁站对港澳台侨团体专人引领安检、验票、入闸等。</w:t>
      </w:r>
    </w:p>
    <w:p w14:paraId="7146B2E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3.精准营销缺位：在港澳台侨地区宣传力度不足，品牌认知度较低。  </w:t>
      </w:r>
    </w:p>
    <w:p w14:paraId="5521BDD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 xml:space="preserve">.服务配套适配性弱：繁体中文导览、港澳台侨支付方式覆盖不全。  </w:t>
      </w:r>
    </w:p>
    <w:p w14:paraId="57EF986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477E3C2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b/>
          <w:bCs/>
          <w:sz w:val="32"/>
          <w:szCs w:val="32"/>
        </w:rPr>
      </w:pPr>
      <w:r>
        <w:rPr>
          <w:rFonts w:hint="eastAsia" w:ascii="黑体" w:hAnsi="黑体" w:eastAsia="黑体" w:cs="黑体"/>
          <w:b/>
          <w:bCs/>
          <w:sz w:val="32"/>
          <w:szCs w:val="32"/>
          <w:lang w:eastAsia="zh-CN"/>
        </w:rPr>
        <w:t>办法</w:t>
      </w:r>
      <w:r>
        <w:rPr>
          <w:rFonts w:hint="eastAsia" w:ascii="黑体" w:hAnsi="黑体" w:eastAsia="黑体" w:cs="黑体"/>
          <w:b/>
          <w:bCs/>
          <w:sz w:val="32"/>
          <w:szCs w:val="32"/>
        </w:rPr>
        <w:t>：</w:t>
      </w:r>
    </w:p>
    <w:p w14:paraId="495256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w:t>
      </w:r>
      <w:r>
        <w:rPr>
          <w:rFonts w:hint="eastAsia" w:ascii="黑体" w:hAnsi="黑体" w:eastAsia="黑体" w:cs="黑体"/>
          <w:sz w:val="32"/>
          <w:szCs w:val="32"/>
          <w:lang w:eastAsia="zh-CN"/>
        </w:rPr>
        <w:t>、</w:t>
      </w:r>
      <w:r>
        <w:rPr>
          <w:rFonts w:hint="eastAsia" w:ascii="黑体" w:hAnsi="黑体" w:eastAsia="黑体" w:cs="黑体"/>
          <w:sz w:val="32"/>
          <w:szCs w:val="32"/>
        </w:rPr>
        <w:t>核心策略与实施方案</w:t>
      </w:r>
    </w:p>
    <w:p w14:paraId="7767079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（一）深化文化共鸣，打造“根脉之旅”特色品牌</w:t>
      </w:r>
    </w:p>
    <w:p w14:paraId="0699068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1.开发“广府文化寻根”主题线路</w:t>
      </w:r>
    </w:p>
    <w:p w14:paraId="51DCDC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串联沙湾古镇（何氏宗祠）、余荫山房、岭南印象园等，设计“宗祠探源”“广府家宴”等体验活动，推出港澳台同胞家谱溯源服务。  </w:t>
      </w:r>
    </w:p>
    <w:p w14:paraId="1392C78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联合港澳台文化团体举办“广府文化节”，邀请粤剧名家、醒狮队跨界演出。  </w:t>
      </w:r>
    </w:p>
    <w:p w14:paraId="3F03093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2.活化宗教与历史遗迹</w:t>
      </w:r>
    </w:p>
    <w:p w14:paraId="4994D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以莲花山望海观音、南海神庙为核心，推出“祈福之旅”，联动港澳台宗教团体组织朝圣游；  </w:t>
      </w:r>
    </w:p>
    <w:p w14:paraId="028BB88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挖掘黄埔古港“海上丝绸之路”历史，打造“千年商都”沈浸式剧本游。  </w:t>
      </w:r>
    </w:p>
    <w:p w14:paraId="6F1AE95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3.名人效应参观点</w:t>
      </w:r>
    </w:p>
    <w:p w14:paraId="4A6D9B9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大力向香港同胞推广竹</w:t>
      </w:r>
      <w:r>
        <w:rPr>
          <w:rFonts w:hint="eastAsia" w:ascii="仿宋_GB2312" w:hAnsi="仿宋_GB2312" w:eastAsia="仿宋_GB2312" w:cs="仿宋_GB2312"/>
          <w:sz w:val="32"/>
          <w:szCs w:val="32"/>
          <w:lang w:eastAsia="zh-CN"/>
        </w:rPr>
        <w:t>间</w:t>
      </w:r>
      <w:r>
        <w:rPr>
          <w:rFonts w:hint="eastAsia" w:ascii="仿宋_GB2312" w:hAnsi="仿宋_GB2312" w:eastAsia="仿宋_GB2312" w:cs="仿宋_GB2312"/>
          <w:sz w:val="32"/>
          <w:szCs w:val="32"/>
        </w:rPr>
        <w:t>李公祠。</w:t>
      </w:r>
    </w:p>
    <w:p w14:paraId="517E6CD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w:t>
      </w:r>
      <w:r>
        <w:rPr>
          <w:rFonts w:hint="eastAsia" w:ascii="黑体" w:hAnsi="黑体" w:eastAsia="黑体" w:cs="黑体"/>
          <w:sz w:val="32"/>
          <w:szCs w:val="32"/>
          <w:lang w:eastAsia="zh-CN"/>
        </w:rPr>
        <w:t>、</w:t>
      </w:r>
      <w:r>
        <w:rPr>
          <w:rFonts w:hint="eastAsia" w:ascii="黑体" w:hAnsi="黑体" w:eastAsia="黑体" w:cs="黑体"/>
          <w:sz w:val="32"/>
          <w:szCs w:val="32"/>
        </w:rPr>
        <w:t>优化跨境服务，提升便利性与亲和力</w:t>
      </w:r>
    </w:p>
    <w:p w14:paraId="1D433B2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推行“无忧服务”计划</w:t>
      </w:r>
    </w:p>
    <w:p w14:paraId="7ADCBEE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1.在景区、酒店全面支持支付宝港澳台版、微信支付HK及国际信用卡，增设外币兑换点；  </w:t>
      </w:r>
    </w:p>
    <w:p w14:paraId="2F042A7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2.培训粤语/繁体中文导游，制作《番禺文旅便民手册》（港澳台专属版），涵盖紧急联络、医疗网点等信息。  </w:t>
      </w:r>
    </w:p>
    <w:p w14:paraId="61364D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w:t>
      </w:r>
      <w:r>
        <w:rPr>
          <w:rFonts w:hint="eastAsia" w:ascii="黑体" w:hAnsi="黑体" w:eastAsia="黑体" w:cs="黑体"/>
          <w:sz w:val="32"/>
          <w:szCs w:val="32"/>
          <w:lang w:eastAsia="zh-CN"/>
        </w:rPr>
        <w:t>、</w:t>
      </w:r>
      <w:r>
        <w:rPr>
          <w:rFonts w:hint="eastAsia" w:ascii="黑体" w:hAnsi="黑体" w:eastAsia="黑体" w:cs="黑体"/>
          <w:sz w:val="32"/>
          <w:szCs w:val="32"/>
        </w:rPr>
        <w:t>精准营销触达，构建立体传播网络</w:t>
      </w:r>
    </w:p>
    <w:p w14:paraId="617583B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1.聚焦港澳台媒介精准投放</w:t>
      </w:r>
    </w:p>
    <w:p w14:paraId="25A301D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在香港TVB、澳广视、台湾东森电视台投放文旅宣传片，在Facebook、Instagram等平台发起“#发现番禺”话题挑战赛；  </w:t>
      </w:r>
    </w:p>
    <w:p w14:paraId="2377F10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邀请港澳台侨旅行社负责人来番禺体验番禺新面貌。</w:t>
      </w:r>
    </w:p>
    <w:p w14:paraId="7C19136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2.深化在地化合作机制</w:t>
      </w:r>
    </w:p>
    <w:p w14:paraId="36D5062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与香港旅游业议会、澳门旅行社协会签订合作协议，设计“一程多站”联游产品（如“香港购物+番禺文化”）；  </w:t>
      </w:r>
    </w:p>
    <w:p w14:paraId="2ECB183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联合台湾广府同乡会举办“两岸青年文化创客营”，推动文创产品共研共销。  </w:t>
      </w:r>
    </w:p>
    <w:p w14:paraId="46978E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rPr>
        <w:t>四</w:t>
      </w:r>
      <w:r>
        <w:rPr>
          <w:rFonts w:hint="eastAsia" w:ascii="黑体" w:hAnsi="黑体" w:eastAsia="黑体" w:cs="黑体"/>
          <w:sz w:val="32"/>
          <w:szCs w:val="32"/>
          <w:lang w:eastAsia="zh-CN"/>
        </w:rPr>
        <w:t>、</w:t>
      </w:r>
      <w:r>
        <w:rPr>
          <w:rFonts w:hint="eastAsia" w:ascii="黑体" w:hAnsi="黑体" w:eastAsia="黑体" w:cs="黑体"/>
          <w:sz w:val="32"/>
          <w:szCs w:val="32"/>
        </w:rPr>
        <w:t>创新业态融合，增强体验吸引力</w:t>
      </w:r>
      <w:r>
        <w:rPr>
          <w:rFonts w:hint="eastAsia" w:ascii="黑体" w:hAnsi="黑体" w:eastAsia="黑体" w:cs="黑体"/>
          <w:sz w:val="32"/>
          <w:szCs w:val="32"/>
          <w:lang w:val="en-US" w:eastAsia="zh-CN"/>
        </w:rPr>
        <w:t xml:space="preserve">  </w:t>
      </w:r>
    </w:p>
    <w:p w14:paraId="35FCCE9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1.推出“文化+科技”体验项目</w:t>
      </w:r>
    </w:p>
    <w:p w14:paraId="4FBFEA1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在沙湾古镇建设“粤剧数字艺术馆”，通过全息投影重现红线女经典剧目，开放港澳台侨游客虚拟扮装互动；  </w:t>
      </w:r>
    </w:p>
    <w:p w14:paraId="18CCC91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开发“AR广府文化寻宝”游戏，串联景区打卡点，通关可兑换非遗手作体验券。  </w:t>
      </w:r>
    </w:p>
    <w:p w14:paraId="091F9F9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2.打造“舌尖上的湾区记忆”</w:t>
      </w:r>
    </w:p>
    <w:p w14:paraId="195B558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设立“港澳台美食融合街区”，推出沙湾姜撞奶DIY工坊、顺德鱼生体验课等，邀请港澳台名厨举办“粤菜师傅”交流赛；  </w:t>
      </w:r>
    </w:p>
    <w:p w14:paraId="556153E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发行“番禺美食护照”，集章可兑换限量版广彩纪念品。  </w:t>
      </w:r>
    </w:p>
    <w:p w14:paraId="549F91B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3.创建医疗、体检旅游</w:t>
      </w:r>
    </w:p>
    <w:p w14:paraId="7AB2C3D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仿宋_GB2312" w:hAnsi="仿宋_GB2312" w:eastAsia="仿宋_GB2312" w:cs="仿宋_GB2312"/>
          <w:sz w:val="32"/>
          <w:szCs w:val="32"/>
        </w:rPr>
        <w:t>本人正在跟番禺中心医疗洽谈，在香港推出VIP医疗、体检旅游套餐。</w:t>
      </w:r>
    </w:p>
    <w:p w14:paraId="379188B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五.强化政策保障，构建长效机制</w:t>
      </w:r>
    </w:p>
    <w:p w14:paraId="5E5C596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1.实施“港澳台侨同胞文旅优待计划</w:t>
      </w:r>
    </w:p>
    <w:p w14:paraId="5784D7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对港澳台旅行社组团给予景区门票打折优惠，对自由行游客发放“文旅消费券”（适用于住宿、餐饮、文创）；  </w:t>
      </w:r>
    </w:p>
    <w:p w14:paraId="22F5B20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2.设立“湾区文旅交流基金”</w:t>
      </w:r>
    </w:p>
    <w:p w14:paraId="20B4D6B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资助港澳台侨青年到番禺开展文化研学、非遗传承项目；  </w:t>
      </w:r>
    </w:p>
    <w:p w14:paraId="57FA82A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对引入港澳台侨文旅投资的企业给予税收减免（如民宿、文创园区）。  </w:t>
      </w:r>
      <w:bookmarkStart w:id="0" w:name="_GoBack"/>
      <w:bookmarkEnd w:id="0"/>
    </w:p>
    <w:p w14:paraId="2A6A523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结语：以上提需要党委、政府与各界共同努力，引客入番，为番禺区全面高质量发展努力。</w:t>
      </w:r>
    </w:p>
    <w:sectPr>
      <w:footerReference r:id="rId3" w:type="default"/>
      <w:pgSz w:w="11906" w:h="16838"/>
      <w:pgMar w:top="2098" w:right="147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FangSong_GB2312">
    <w:altName w:val="仿宋_GB2312"/>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F8EA82">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655CD4">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7655CD4">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E132027"/>
    <w:rsid w:val="1C682603"/>
    <w:rsid w:val="28A04188"/>
    <w:rsid w:val="340551E6"/>
    <w:rsid w:val="3DFF054A"/>
    <w:rsid w:val="46CB4F03"/>
    <w:rsid w:val="4EB8094F"/>
    <w:rsid w:val="557C1D9C"/>
    <w:rsid w:val="5A7D755B"/>
    <w:rsid w:val="68626451"/>
    <w:rsid w:val="7607525D"/>
    <w:rsid w:val="782861AE"/>
    <w:rsid w:val="7B0B2A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Calibri" w:hAnsi="Calibri" w:eastAsia="仿宋_GB2312"/>
      <w:sz w:val="32"/>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区政协</Company>
  <Pages>5</Pages>
  <Words>0</Words>
  <Characters>0</Characters>
  <Lines>0</Lines>
  <Paragraphs>0</Paragraphs>
  <TotalTime>1</TotalTime>
  <ScaleCrop>false</ScaleCrop>
  <LinksUpToDate>false</LinksUpToDate>
  <CharactersWithSpaces>0</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2025-02-26T06:48:00Z</dcterms:created>
  <dc:creator>Administrator</dc:creator>
  <cp:lastModifiedBy>user</cp:lastModifiedBy>
  <cp:lastPrinted>2025-02-27T02:27:00Z</cp:lastPrinted>
  <dcterms:modified xsi:type="dcterms:W3CDTF">2026-01-06T03:31:36Z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F8C158985F13410B9A7CCDB6B2E8453A_11</vt:lpwstr>
  </property>
</Properties>
</file>