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AEB28">
      <w:pPr>
        <w:jc w:val="right"/>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第</w:t>
      </w:r>
      <w:r>
        <w:rPr>
          <w:rFonts w:hint="eastAsia" w:ascii="FangSong_GB2312" w:hAnsi="FangSong_GB2312" w:eastAsia="FangSong_GB2312" w:cs="FangSong_GB2312"/>
          <w:sz w:val="32"/>
          <w:szCs w:val="32"/>
          <w:u w:val="single"/>
        </w:rPr>
        <w:t xml:space="preserve">   </w:t>
      </w:r>
      <w:r>
        <w:rPr>
          <w:rFonts w:hint="eastAsia" w:ascii="FangSong_GB2312" w:hAnsi="FangSong_GB2312" w:eastAsia="FangSong_GB2312" w:cs="FangSong_GB2312"/>
          <w:sz w:val="32"/>
          <w:szCs w:val="32"/>
          <w:u w:val="single"/>
          <w:lang w:val="en-US" w:eastAsia="zh-CN"/>
        </w:rPr>
        <w:t>86</w:t>
      </w:r>
      <w:r>
        <w:rPr>
          <w:rFonts w:hint="eastAsia" w:ascii="FangSong_GB2312" w:hAnsi="FangSong_GB2312" w:eastAsia="FangSong_GB2312" w:cs="FangSong_GB2312"/>
          <w:sz w:val="32"/>
          <w:szCs w:val="32"/>
          <w:u w:val="single"/>
        </w:rPr>
        <w:t xml:space="preserve">   </w:t>
      </w:r>
      <w:r>
        <w:rPr>
          <w:rFonts w:hint="eastAsia" w:ascii="FangSong_GB2312" w:hAnsi="FangSong_GB2312" w:eastAsia="FangSong_GB2312" w:cs="FangSong_GB2312"/>
          <w:sz w:val="32"/>
          <w:szCs w:val="32"/>
        </w:rPr>
        <w:t>号</w:t>
      </w:r>
    </w:p>
    <w:p w14:paraId="614C2370">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番禺区政协十五届五次会议提案</w:t>
      </w:r>
    </w:p>
    <w:tbl>
      <w:tblPr>
        <w:tblStyle w:val="8"/>
        <w:tblW w:w="919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2977"/>
        <w:gridCol w:w="1276"/>
        <w:gridCol w:w="2913"/>
      </w:tblGrid>
      <w:tr w14:paraId="71EE3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029" w:type="dxa"/>
            <w:tcBorders>
              <w:top w:val="single" w:color="auto" w:sz="4" w:space="0"/>
              <w:left w:val="single" w:color="auto" w:sz="4" w:space="0"/>
              <w:bottom w:val="single" w:color="auto" w:sz="4" w:space="0"/>
              <w:right w:val="single" w:color="auto" w:sz="4" w:space="0"/>
            </w:tcBorders>
            <w:vAlign w:val="center"/>
          </w:tcPr>
          <w:p w14:paraId="40F86B96">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题    目</w:t>
            </w:r>
          </w:p>
        </w:tc>
        <w:tc>
          <w:tcPr>
            <w:tcW w:w="7166" w:type="dxa"/>
            <w:gridSpan w:val="3"/>
            <w:tcBorders>
              <w:top w:val="single" w:color="auto" w:sz="4" w:space="0"/>
              <w:left w:val="single" w:color="auto" w:sz="4" w:space="0"/>
              <w:bottom w:val="single" w:color="auto" w:sz="4" w:space="0"/>
              <w:right w:val="single" w:color="auto" w:sz="4" w:space="0"/>
            </w:tcBorders>
            <w:vAlign w:val="center"/>
          </w:tcPr>
          <w:p w14:paraId="1544228D">
            <w:pPr>
              <w:spacing w:line="660" w:lineRule="exact"/>
              <w:jc w:val="center"/>
              <w:rPr>
                <w:rFonts w:ascii="FangSong_GB2312" w:hAnsi="宋体" w:eastAsia="FangSong_GB2312"/>
                <w:sz w:val="32"/>
                <w:szCs w:val="32"/>
              </w:rPr>
            </w:pPr>
            <w:r>
              <w:rPr>
                <w:rFonts w:hint="eastAsia" w:ascii="FangSong_GB2312" w:hAnsi="FangSong_GB2312" w:eastAsia="FangSong_GB2312" w:cs="FangSong_GB2312"/>
                <w:sz w:val="32"/>
                <w:szCs w:val="32"/>
              </w:rPr>
              <w:t>关于打造岭南文化及粤语传承的摇篮并建设创意岭南文化走廊的建议</w:t>
            </w:r>
          </w:p>
        </w:tc>
      </w:tr>
      <w:tr w14:paraId="44C92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2029" w:type="dxa"/>
            <w:tcBorders>
              <w:top w:val="single" w:color="auto" w:sz="4" w:space="0"/>
              <w:left w:val="single" w:color="auto" w:sz="4" w:space="0"/>
              <w:right w:val="single" w:color="auto" w:sz="4" w:space="0"/>
            </w:tcBorders>
            <w:vAlign w:val="center"/>
          </w:tcPr>
          <w:p w14:paraId="5A14F41A">
            <w:pPr>
              <w:spacing w:line="560" w:lineRule="exact"/>
              <w:jc w:val="center"/>
              <w:rPr>
                <w:rFonts w:ascii="FangSong_GB2312" w:hAnsi="宋体" w:eastAsia="FangSong_GB2312"/>
                <w:sz w:val="32"/>
                <w:szCs w:val="32"/>
              </w:rPr>
            </w:pPr>
            <w:r>
              <w:rPr>
                <w:rFonts w:hint="eastAsia" w:ascii="FangSong_GB2312" w:hAnsi="宋体" w:eastAsia="FangSong_GB2312"/>
                <w:sz w:val="32"/>
                <w:szCs w:val="32"/>
              </w:rPr>
              <w:t>提 案 者</w:t>
            </w:r>
          </w:p>
          <w:p w14:paraId="70E576EA">
            <w:pPr>
              <w:spacing w:line="560" w:lineRule="exact"/>
              <w:jc w:val="center"/>
              <w:rPr>
                <w:rFonts w:eastAsia="FangSong_GB2312"/>
              </w:rPr>
            </w:pPr>
            <w:r>
              <w:rPr>
                <w:rFonts w:hint="eastAsia" w:ascii="FangSong_GB2312" w:hAnsi="宋体" w:eastAsia="FangSong_GB2312"/>
                <w:sz w:val="28"/>
                <w:szCs w:val="28"/>
              </w:rPr>
              <w:t>（括号内注明主笔人）</w:t>
            </w:r>
          </w:p>
        </w:tc>
        <w:tc>
          <w:tcPr>
            <w:tcW w:w="2977" w:type="dxa"/>
            <w:tcBorders>
              <w:top w:val="single" w:color="auto" w:sz="4" w:space="0"/>
              <w:left w:val="single" w:color="auto" w:sz="4" w:space="0"/>
              <w:bottom w:val="single" w:color="auto" w:sz="4" w:space="0"/>
              <w:right w:val="single" w:color="auto" w:sz="4" w:space="0"/>
            </w:tcBorders>
            <w:vAlign w:val="center"/>
          </w:tcPr>
          <w:p w14:paraId="2E0FD74F">
            <w:pPr>
              <w:spacing w:line="680" w:lineRule="exact"/>
              <w:jc w:val="center"/>
              <w:rPr>
                <w:rFonts w:ascii="FangSong_GB2312" w:hAnsi="宋体" w:eastAsia="FangSong_GB2312"/>
                <w:sz w:val="32"/>
                <w:szCs w:val="32"/>
              </w:rPr>
            </w:pPr>
            <w:r>
              <w:rPr>
                <w:rFonts w:hint="eastAsia" w:ascii="FangSong_GB2312" w:hAnsi="FangSong_GB2312" w:eastAsia="FangSong_GB2312" w:cs="FangSong_GB2312"/>
                <w:sz w:val="32"/>
                <w:szCs w:val="32"/>
              </w:rPr>
              <w:t>邱伟祺</w:t>
            </w:r>
          </w:p>
        </w:tc>
        <w:tc>
          <w:tcPr>
            <w:tcW w:w="1276" w:type="dxa"/>
            <w:tcBorders>
              <w:top w:val="single" w:color="auto" w:sz="4" w:space="0"/>
              <w:left w:val="single" w:color="auto" w:sz="4" w:space="0"/>
              <w:right w:val="single" w:color="auto" w:sz="4" w:space="0"/>
            </w:tcBorders>
            <w:vAlign w:val="center"/>
          </w:tcPr>
          <w:p w14:paraId="30C3C58C">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联系人</w:t>
            </w:r>
          </w:p>
        </w:tc>
        <w:tc>
          <w:tcPr>
            <w:tcW w:w="2913" w:type="dxa"/>
            <w:tcBorders>
              <w:top w:val="single" w:color="auto" w:sz="4" w:space="0"/>
              <w:left w:val="single" w:color="auto" w:sz="4" w:space="0"/>
              <w:right w:val="single" w:color="auto" w:sz="4" w:space="0"/>
            </w:tcBorders>
            <w:vAlign w:val="center"/>
          </w:tcPr>
          <w:p w14:paraId="617E4926">
            <w:pPr>
              <w:spacing w:line="660" w:lineRule="exact"/>
              <w:jc w:val="center"/>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邱伟祺</w:t>
            </w:r>
          </w:p>
        </w:tc>
      </w:tr>
      <w:tr w14:paraId="1E2FD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vAlign w:val="center"/>
          </w:tcPr>
          <w:p w14:paraId="73E8F512">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工作单位</w:t>
            </w:r>
          </w:p>
        </w:tc>
        <w:tc>
          <w:tcPr>
            <w:tcW w:w="2977" w:type="dxa"/>
            <w:tcBorders>
              <w:top w:val="single" w:color="auto" w:sz="4" w:space="0"/>
              <w:left w:val="single" w:color="auto" w:sz="4" w:space="0"/>
              <w:bottom w:val="single" w:color="auto" w:sz="4" w:space="0"/>
              <w:right w:val="single" w:color="auto" w:sz="4" w:space="0"/>
            </w:tcBorders>
            <w:vAlign w:val="center"/>
          </w:tcPr>
          <w:p w14:paraId="4B0EB2D8">
            <w:pPr>
              <w:jc w:val="center"/>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区政协香港组</w:t>
            </w:r>
          </w:p>
        </w:tc>
        <w:tc>
          <w:tcPr>
            <w:tcW w:w="1276" w:type="dxa"/>
            <w:tcBorders>
              <w:top w:val="single" w:color="auto" w:sz="4" w:space="0"/>
              <w:left w:val="single" w:color="auto" w:sz="4" w:space="0"/>
              <w:bottom w:val="single" w:color="auto" w:sz="4" w:space="0"/>
              <w:right w:val="single" w:color="auto" w:sz="4" w:space="0"/>
            </w:tcBorders>
            <w:vAlign w:val="center"/>
          </w:tcPr>
          <w:p w14:paraId="0DEFD353">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职</w:t>
            </w:r>
            <w:r>
              <w:rPr>
                <w:rFonts w:ascii="FangSong_GB2312" w:hAnsi="宋体" w:eastAsia="FangSong_GB2312"/>
                <w:sz w:val="32"/>
                <w:szCs w:val="32"/>
              </w:rPr>
              <w:t xml:space="preserve">  </w:t>
            </w:r>
            <w:r>
              <w:rPr>
                <w:rFonts w:hint="eastAsia" w:ascii="FangSong_GB2312" w:hAnsi="宋体" w:eastAsia="FangSong_GB2312"/>
                <w:sz w:val="32"/>
                <w:szCs w:val="32"/>
              </w:rPr>
              <w:t>务</w:t>
            </w:r>
          </w:p>
        </w:tc>
        <w:tc>
          <w:tcPr>
            <w:tcW w:w="2913" w:type="dxa"/>
            <w:tcBorders>
              <w:top w:val="single" w:color="auto" w:sz="4" w:space="0"/>
              <w:left w:val="single" w:color="auto" w:sz="4" w:space="0"/>
              <w:bottom w:val="single" w:color="auto" w:sz="4" w:space="0"/>
              <w:right w:val="single" w:color="auto" w:sz="4" w:space="0"/>
            </w:tcBorders>
            <w:vAlign w:val="center"/>
          </w:tcPr>
          <w:p w14:paraId="448ADC3C">
            <w:pPr>
              <w:spacing w:line="680" w:lineRule="exact"/>
              <w:jc w:val="center"/>
              <w:rPr>
                <w:rFonts w:ascii="FangSong_GB2312" w:hAnsi="宋体" w:eastAsia="FangSong_GB2312"/>
                <w:sz w:val="32"/>
                <w:szCs w:val="32"/>
              </w:rPr>
            </w:pPr>
            <w:r>
              <w:rPr>
                <w:rFonts w:hint="eastAsia" w:ascii="FangSong_GB2312" w:hAnsi="FangSong_GB2312" w:eastAsia="FangSong_GB2312" w:cs="FangSong_GB2312"/>
                <w:sz w:val="32"/>
                <w:szCs w:val="32"/>
              </w:rPr>
              <w:t>委员</w:t>
            </w:r>
          </w:p>
        </w:tc>
      </w:tr>
      <w:tr w14:paraId="2FB5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9" w:type="dxa"/>
            <w:tcBorders>
              <w:top w:val="single" w:color="auto" w:sz="4" w:space="0"/>
              <w:left w:val="single" w:color="auto" w:sz="4" w:space="0"/>
              <w:bottom w:val="single" w:color="auto" w:sz="4" w:space="0"/>
              <w:right w:val="single" w:color="auto" w:sz="4" w:space="0"/>
            </w:tcBorders>
            <w:vAlign w:val="center"/>
          </w:tcPr>
          <w:p w14:paraId="2C28B697">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手机号码</w:t>
            </w:r>
          </w:p>
        </w:tc>
        <w:tc>
          <w:tcPr>
            <w:tcW w:w="2977" w:type="dxa"/>
            <w:tcBorders>
              <w:top w:val="single" w:color="auto" w:sz="4" w:space="0"/>
              <w:left w:val="single" w:color="auto" w:sz="4" w:space="0"/>
              <w:bottom w:val="single" w:color="auto" w:sz="4" w:space="0"/>
              <w:right w:val="single" w:color="auto" w:sz="4" w:space="0"/>
            </w:tcBorders>
            <w:vAlign w:val="center"/>
          </w:tcPr>
          <w:p w14:paraId="30F19865">
            <w:pPr>
              <w:spacing w:line="680" w:lineRule="exact"/>
              <w:jc w:val="center"/>
              <w:rPr>
                <w:rFonts w:ascii="FangSong_GB2312" w:hAnsi="宋体" w:eastAsia="FangSong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14:paraId="3F7036DB">
            <w:pPr>
              <w:spacing w:line="680" w:lineRule="exact"/>
              <w:jc w:val="center"/>
              <w:rPr>
                <w:rFonts w:ascii="FangSong_GB2312" w:hAnsi="宋体" w:eastAsia="FangSong_GB2312"/>
                <w:sz w:val="32"/>
                <w:szCs w:val="32"/>
              </w:rPr>
            </w:pPr>
            <w:r>
              <w:rPr>
                <w:rFonts w:hint="eastAsia" w:ascii="FangSong_GB2312" w:hAnsi="宋体" w:eastAsia="FangSong_GB2312"/>
                <w:spacing w:val="-28"/>
                <w:sz w:val="32"/>
                <w:szCs w:val="32"/>
              </w:rPr>
              <w:t>办公电话</w:t>
            </w:r>
          </w:p>
        </w:tc>
        <w:tc>
          <w:tcPr>
            <w:tcW w:w="2913" w:type="dxa"/>
            <w:tcBorders>
              <w:top w:val="single" w:color="auto" w:sz="4" w:space="0"/>
              <w:left w:val="single" w:color="auto" w:sz="4" w:space="0"/>
              <w:bottom w:val="single" w:color="auto" w:sz="4" w:space="0"/>
              <w:right w:val="single" w:color="auto" w:sz="4" w:space="0"/>
            </w:tcBorders>
            <w:vAlign w:val="center"/>
          </w:tcPr>
          <w:p w14:paraId="4EF53312">
            <w:pPr>
              <w:spacing w:line="680" w:lineRule="exact"/>
              <w:jc w:val="center"/>
              <w:rPr>
                <w:rFonts w:ascii="FangSong_GB2312" w:hAnsi="宋体" w:eastAsia="FangSong_GB2312"/>
                <w:sz w:val="32"/>
                <w:szCs w:val="32"/>
              </w:rPr>
            </w:pPr>
          </w:p>
        </w:tc>
      </w:tr>
      <w:tr w14:paraId="7FA2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2029" w:type="dxa"/>
            <w:tcBorders>
              <w:top w:val="single" w:color="auto" w:sz="4" w:space="0"/>
              <w:left w:val="single" w:color="auto" w:sz="4" w:space="0"/>
              <w:bottom w:val="single" w:color="auto" w:sz="4" w:space="0"/>
              <w:right w:val="single" w:color="auto" w:sz="4" w:space="0"/>
            </w:tcBorders>
            <w:vAlign w:val="center"/>
          </w:tcPr>
          <w:p w14:paraId="4EBE388B">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通讯地址</w:t>
            </w:r>
          </w:p>
        </w:tc>
        <w:tc>
          <w:tcPr>
            <w:tcW w:w="7166" w:type="dxa"/>
            <w:gridSpan w:val="3"/>
            <w:tcBorders>
              <w:top w:val="single" w:color="auto" w:sz="4" w:space="0"/>
              <w:left w:val="single" w:color="auto" w:sz="4" w:space="0"/>
              <w:bottom w:val="single" w:color="auto" w:sz="4" w:space="0"/>
              <w:right w:val="single" w:color="auto" w:sz="4" w:space="0"/>
            </w:tcBorders>
            <w:vAlign w:val="center"/>
          </w:tcPr>
          <w:p w14:paraId="728BFE2A">
            <w:pPr>
              <w:spacing w:line="680" w:lineRule="exact"/>
              <w:jc w:val="left"/>
              <w:rPr>
                <w:rFonts w:ascii="FangSong_GB2312" w:hAnsi="宋体" w:eastAsia="FangSong_GB2312"/>
                <w:sz w:val="32"/>
                <w:szCs w:val="32"/>
              </w:rPr>
            </w:pPr>
          </w:p>
        </w:tc>
      </w:tr>
      <w:tr w14:paraId="1CBFA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2029" w:type="dxa"/>
            <w:tcBorders>
              <w:top w:val="single" w:color="auto" w:sz="4" w:space="0"/>
              <w:left w:val="single" w:color="auto" w:sz="4" w:space="0"/>
              <w:bottom w:val="single" w:color="auto" w:sz="4" w:space="0"/>
              <w:right w:val="single" w:color="auto" w:sz="4" w:space="0"/>
            </w:tcBorders>
            <w:vAlign w:val="center"/>
          </w:tcPr>
          <w:p w14:paraId="1AA1EE64">
            <w:pPr>
              <w:spacing w:line="680" w:lineRule="exact"/>
              <w:jc w:val="center"/>
              <w:rPr>
                <w:rFonts w:ascii="FangSong_GB2312" w:hAnsi="宋体" w:eastAsia="FangSong_GB2312"/>
                <w:spacing w:val="-14"/>
                <w:sz w:val="32"/>
                <w:szCs w:val="32"/>
              </w:rPr>
            </w:pPr>
            <w:r>
              <w:rPr>
                <w:rFonts w:hint="eastAsia" w:ascii="FangSong_GB2312" w:hAnsi="宋体" w:eastAsia="FangSong_GB2312"/>
                <w:sz w:val="32"/>
                <w:szCs w:val="32"/>
              </w:rPr>
              <w:t>联名提案人</w:t>
            </w:r>
          </w:p>
        </w:tc>
        <w:tc>
          <w:tcPr>
            <w:tcW w:w="7166" w:type="dxa"/>
            <w:gridSpan w:val="3"/>
            <w:tcBorders>
              <w:top w:val="single" w:color="auto" w:sz="4" w:space="0"/>
              <w:left w:val="single" w:color="auto" w:sz="4" w:space="0"/>
              <w:bottom w:val="single" w:color="auto" w:sz="4" w:space="0"/>
              <w:right w:val="single" w:color="auto" w:sz="4" w:space="0"/>
            </w:tcBorders>
          </w:tcPr>
          <w:p w14:paraId="51434520">
            <w:pPr>
              <w:spacing w:line="680" w:lineRule="exact"/>
              <w:rPr>
                <w:rFonts w:ascii="FangSong_GB2312" w:hAnsi="宋体" w:eastAsia="FangSong_GB2312"/>
                <w:sz w:val="32"/>
                <w:szCs w:val="32"/>
              </w:rPr>
            </w:pPr>
            <w:r>
              <w:rPr>
                <w:rFonts w:hint="eastAsia" w:ascii="FangSong_GB2312" w:hAnsi="宋体" w:eastAsia="FangSong_GB2312"/>
                <w:spacing w:val="-14"/>
                <w:sz w:val="32"/>
                <w:szCs w:val="32"/>
              </w:rPr>
              <w:t>（</w:t>
            </w:r>
            <w:r>
              <w:rPr>
                <w:rFonts w:ascii="FangSong_GB2312" w:hAnsi="FangSong_GB2312" w:eastAsia="FangSong_GB2312" w:cs="FangSong_GB2312"/>
                <w:sz w:val="28"/>
                <w:szCs w:val="28"/>
              </w:rPr>
              <w:t>一经提交不得再增加联名提案人</w:t>
            </w:r>
            <w:r>
              <w:rPr>
                <w:rFonts w:hint="eastAsia" w:ascii="FangSong_GB2312" w:hAnsi="宋体" w:eastAsia="FangSong_GB2312"/>
                <w:spacing w:val="-14"/>
                <w:sz w:val="32"/>
                <w:szCs w:val="32"/>
              </w:rPr>
              <w:t>）</w:t>
            </w:r>
          </w:p>
        </w:tc>
      </w:tr>
      <w:tr w14:paraId="1F468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029" w:type="dxa"/>
            <w:tcBorders>
              <w:top w:val="single" w:color="auto" w:sz="4" w:space="0"/>
              <w:left w:val="single" w:color="auto" w:sz="4" w:space="0"/>
              <w:bottom w:val="single" w:color="auto" w:sz="4" w:space="0"/>
              <w:right w:val="single" w:color="auto" w:sz="4" w:space="0"/>
            </w:tcBorders>
            <w:vAlign w:val="center"/>
          </w:tcPr>
          <w:p w14:paraId="002137EB">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提案委员会</w:t>
            </w:r>
          </w:p>
          <w:p w14:paraId="156ADD62">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审查意见</w:t>
            </w:r>
          </w:p>
        </w:tc>
        <w:tc>
          <w:tcPr>
            <w:tcW w:w="7166" w:type="dxa"/>
            <w:gridSpan w:val="3"/>
            <w:tcBorders>
              <w:top w:val="single" w:color="auto" w:sz="4" w:space="0"/>
              <w:left w:val="single" w:color="auto" w:sz="4" w:space="0"/>
              <w:bottom w:val="single" w:color="auto" w:sz="4" w:space="0"/>
              <w:right w:val="single" w:color="auto" w:sz="4" w:space="0"/>
            </w:tcBorders>
            <w:vAlign w:val="center"/>
          </w:tcPr>
          <w:p w14:paraId="3FBBB61F">
            <w:pPr>
              <w:spacing w:line="680" w:lineRule="exact"/>
              <w:jc w:val="center"/>
              <w:rPr>
                <w:rFonts w:ascii="FangSong_GB2312" w:hAnsi="宋体" w:eastAsia="FangSong_GB2312"/>
                <w:sz w:val="32"/>
                <w:szCs w:val="32"/>
              </w:rPr>
            </w:pPr>
            <w:r>
              <w:rPr>
                <w:rFonts w:hint="eastAsia" w:ascii="仿宋_GB2312" w:hAnsi="宋体" w:eastAsia="仿宋_GB2312"/>
                <w:sz w:val="32"/>
                <w:szCs w:val="32"/>
                <w:lang w:val="en-US" w:eastAsia="zh-CN"/>
              </w:rPr>
              <w:t>同意立案</w:t>
            </w:r>
          </w:p>
        </w:tc>
      </w:tr>
    </w:tbl>
    <w:p w14:paraId="70280925">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14:paraId="4AF3BBAA">
      <w:pPr>
        <w:spacing w:line="440" w:lineRule="exact"/>
        <w:rPr>
          <w:rFonts w:ascii="宋体" w:hAnsi="宋体"/>
          <w:b/>
          <w:sz w:val="30"/>
          <w:szCs w:val="30"/>
        </w:rPr>
      </w:pPr>
      <w:r>
        <w:rPr>
          <w:rFonts w:hint="eastAsia" w:ascii="宋体" w:hAnsi="宋体"/>
          <w:b/>
          <w:sz w:val="30"/>
          <w:szCs w:val="30"/>
        </w:rPr>
        <w:t>是否同意公开：</w:t>
      </w:r>
    </w:p>
    <w:p w14:paraId="4EBEE7F0">
      <w:pPr>
        <w:spacing w:line="440" w:lineRule="exact"/>
        <w:rPr>
          <w:rFonts w:ascii="黑体" w:hAnsi="黑体" w:eastAsia="黑体"/>
          <w:b/>
          <w:sz w:val="32"/>
          <w:szCs w:val="32"/>
        </w:rPr>
      </w:pPr>
      <w:r>
        <w:rPr>
          <w:rFonts w:hint="eastAsia" w:ascii="宋体" w:hAnsi="宋体"/>
          <w:sz w:val="30"/>
          <w:szCs w:val="30"/>
        </w:rPr>
        <w:t>是（√）</w:t>
      </w:r>
      <w:r>
        <w:rPr>
          <w:rFonts w:ascii="宋体" w:hAnsi="宋体"/>
          <w:sz w:val="30"/>
          <w:szCs w:val="30"/>
        </w:rPr>
        <w:t xml:space="preserve">  </w:t>
      </w:r>
      <w:r>
        <w:rPr>
          <w:rFonts w:hint="eastAsia" w:ascii="宋体" w:hAnsi="宋体"/>
          <w:sz w:val="30"/>
          <w:szCs w:val="30"/>
        </w:rPr>
        <w:t>否（）</w:t>
      </w:r>
      <w:r>
        <w:rPr>
          <w:rFonts w:ascii="宋体" w:hAnsi="宋体"/>
          <w:sz w:val="30"/>
          <w:szCs w:val="30"/>
        </w:rPr>
        <w:t xml:space="preserve"> </w:t>
      </w:r>
      <w:r>
        <w:rPr>
          <w:rFonts w:hint="eastAsia" w:ascii="黑体" w:hAnsi="黑体" w:eastAsia="黑体"/>
          <w:b/>
          <w:sz w:val="32"/>
          <w:szCs w:val="32"/>
        </w:rPr>
        <w:br w:type="page"/>
      </w:r>
    </w:p>
    <w:p w14:paraId="2833975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lang w:val="zh-CN"/>
          <w14:textFill>
            <w14:solidFill>
              <w14:schemeClr w14:val="tx1"/>
            </w14:solidFill>
          </w14:textFill>
        </w:rPr>
        <w:t>理由：</w:t>
      </w:r>
    </w:p>
    <w:p w14:paraId="5A3DD332">
      <w:pPr>
        <w:pStyle w:val="10"/>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背景与现状</w:t>
      </w:r>
    </w:p>
    <w:p w14:paraId="5E4251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color w:val="000000" w:themeColor="text1"/>
          <w:sz w:val="32"/>
          <w:szCs w:val="32"/>
          <w14:textFill>
            <w14:solidFill>
              <w14:schemeClr w14:val="tx1"/>
            </w14:solidFill>
          </w14:textFill>
        </w:rPr>
      </w:pPr>
      <w:r>
        <w:rPr>
          <w:rFonts w:hint="eastAsia" w:ascii="FangSong_GB2312" w:hAnsi="FangSong_GB2312" w:eastAsia="FangSong_GB2312" w:cs="FangSong_GB2312"/>
          <w:color w:val="000000" w:themeColor="text1"/>
          <w:sz w:val="32"/>
          <w:szCs w:val="32"/>
          <w14:textFill>
            <w14:solidFill>
              <w14:schemeClr w14:val="tx1"/>
            </w14:solidFill>
          </w14:textFill>
        </w:rPr>
        <w:t>岭南文化是中华文化的重要组成部分，具有独特的地域特色与深厚的历史底蕴，涵盖了语言、艺术、建筑、饮食和民俗等多个方面，对粤港澳大湾区的文化生活产生了深远影响。番禺区作为岭南文化的发源地之一，拥有丰富的文化资源，如沙湾古镇、余荫山房等，但这些资源的开发与整合仍显不足，缺乏系统性和创新性。</w:t>
      </w:r>
    </w:p>
    <w:p w14:paraId="753AF1CC">
      <w:pPr>
        <w:pStyle w:val="10"/>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主要目标</w:t>
      </w:r>
    </w:p>
    <w:p w14:paraId="715B1F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展示中</w:t>
      </w:r>
      <w:r>
        <w:rPr>
          <w:rFonts w:hint="eastAsia" w:ascii="FangSong_GB2312" w:hAnsi="FangSong_GB2312" w:eastAsia="FangSong_GB2312" w:cs="FangSong_GB2312"/>
          <w:sz w:val="32"/>
          <w:szCs w:val="32"/>
          <w:lang w:val="en-US" w:eastAsia="zh-CN"/>
        </w:rPr>
        <w:t>华</w:t>
      </w:r>
      <w:bookmarkStart w:id="0" w:name="_GoBack"/>
      <w:bookmarkEnd w:id="0"/>
      <w:r>
        <w:rPr>
          <w:rFonts w:hint="eastAsia" w:ascii="FangSong_GB2312" w:hAnsi="FangSong_GB2312" w:eastAsia="FangSong_GB2312" w:cs="FangSong_GB2312"/>
          <w:sz w:val="32"/>
          <w:szCs w:val="32"/>
        </w:rPr>
        <w:t>优秀传统文化的独特魅力——岭南文化魅力</w:t>
      </w:r>
    </w:p>
    <w:p w14:paraId="4FE130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1.打造岭南文化及粤语传承的摇篮：通过整合番禺文化资源，建设岭南文化传承与创新体系，强化粤语的推广。</w:t>
      </w:r>
    </w:p>
    <w:p w14:paraId="0D20D7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2.构建创意岭南文化走廊：串联番禺</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新八景</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以及粤港澳大湾区内的文化节点，以新颖的方式推动岭南文化旅游和文化交流。</w:t>
      </w:r>
    </w:p>
    <w:p w14:paraId="5D7085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ascii="FangSong_GB2312" w:hAnsi="FangSong_GB2312" w:eastAsia="FangSong_GB2312" w:cs="FangSong_GB2312"/>
          <w:sz w:val="32"/>
          <w:szCs w:val="32"/>
        </w:rPr>
        <w:t>3</w:t>
      </w:r>
      <w:r>
        <w:rPr>
          <w:rFonts w:hint="eastAsia" w:ascii="FangSong_GB2312" w:hAnsi="FangSong_GB2312" w:eastAsia="FangSong_GB2312" w:cs="FangSong_GB2312"/>
          <w:sz w:val="32"/>
          <w:szCs w:val="32"/>
        </w:rPr>
        <w:t>.推进</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岭南文化超级IP计划</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：以</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广府文化生态保护区</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为核心，开发沉浸式非遗体验路线，打造岭南文化文创产业孵化基地，策划</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番禺故事</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全球传播工程，形成跨区域、跨领域的岭南文化超级IP，提升国际影响力。</w:t>
      </w:r>
    </w:p>
    <w:p w14:paraId="516B4C7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FangSong_GB2312" w:hAnsi="FangSong_GB2312" w:eastAsia="FangSong_GB2312" w:cs="FangSong_GB2312"/>
          <w:sz w:val="32"/>
          <w:szCs w:val="32"/>
        </w:rPr>
      </w:pPr>
    </w:p>
    <w:p w14:paraId="2508E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color w:val="000000" w:themeColor="text1"/>
          <w:sz w:val="32"/>
          <w:szCs w:val="32"/>
          <w:lang w:val="zh-CN"/>
          <w14:textFill>
            <w14:solidFill>
              <w14:schemeClr w14:val="tx1"/>
            </w14:solidFill>
          </w14:textFill>
        </w:rPr>
      </w:pPr>
      <w:r>
        <w:rPr>
          <w:rFonts w:hint="eastAsia" w:ascii="黑体" w:hAnsi="黑体" w:eastAsia="黑体" w:cs="黑体"/>
          <w:b/>
          <w:bCs/>
          <w:color w:val="000000" w:themeColor="text1"/>
          <w:sz w:val="32"/>
          <w:szCs w:val="32"/>
          <w:lang w:val="zh-CN"/>
          <w14:textFill>
            <w14:solidFill>
              <w14:schemeClr w14:val="tx1"/>
            </w14:solidFill>
          </w14:textFill>
        </w:rPr>
        <w:t>办法：</w:t>
      </w:r>
    </w:p>
    <w:p w14:paraId="0910ECA6">
      <w:pPr>
        <w:keepNext w:val="0"/>
        <w:keepLines w:val="0"/>
        <w:pageBreakBefore w:val="0"/>
        <w:widowControl w:val="0"/>
        <w:kinsoku/>
        <w:wordWrap/>
        <w:overflowPunct/>
        <w:topLinePunct w:val="0"/>
        <w:autoSpaceDE/>
        <w:autoSpaceDN/>
        <w:bidi w:val="0"/>
        <w:adjustRightInd/>
        <w:snapToGrid/>
        <w:spacing w:line="560" w:lineRule="exact"/>
        <w:ind w:left="568"/>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zh-CN"/>
        </w:rPr>
        <w:t>一、具</w:t>
      </w:r>
      <w:r>
        <w:rPr>
          <w:rFonts w:hint="eastAsia" w:ascii="黑体" w:hAnsi="黑体" w:eastAsia="黑体" w:cs="黑体"/>
          <w:b w:val="0"/>
          <w:bCs w:val="0"/>
          <w:sz w:val="32"/>
          <w:szCs w:val="32"/>
        </w:rPr>
        <w:t>体建议与措施：</w:t>
      </w:r>
    </w:p>
    <w:p w14:paraId="695358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（一）打造岭南文化及粤语传承的摇篮</w:t>
      </w:r>
    </w:p>
    <w:p w14:paraId="672A54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1.整合岭南文化资源，绘制文化地图  </w:t>
      </w:r>
    </w:p>
    <w:p w14:paraId="5DFBCD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文化节点联动：以沙湾古镇、余荫山房、宝墨园为核心，串联番禺博物馆、番禺图书新馆及岭南印象园，规划岭南文化旅游路线。 </w:t>
      </w:r>
    </w:p>
    <w:p w14:paraId="2011B8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沉浸式体验：开发</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岭南文化一日游</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和</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岭南文化三日深度游</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，结合粤乐表演、岭南园林体验、灯光秀等活动，增强旅游吸引力。  </w:t>
      </w:r>
    </w:p>
    <w:p w14:paraId="250955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文化故事挖掘：通过专家学者挖掘沙湾古镇的粤乐起源故事、大岭村的宗族传说，将文化故事融入导览与数字化展示中。</w:t>
      </w:r>
    </w:p>
    <w:p w14:paraId="47EDE4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2.建设岭南文化及粤语体验中心</w:t>
      </w:r>
    </w:p>
    <w:p w14:paraId="0C5F72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在“沙湾古镇”设立粤语传承教育基地，在“番禺博物馆”设立岭南文化展览厅，利用VR/AR技术打造数字化互动体验区域，用年青人的共同语言带出新时代</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新创意的岭南文化体验。</w:t>
      </w:r>
    </w:p>
    <w:p w14:paraId="44A706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开发AI语言学习系统，通过游戏化任务</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如粤语诗句翻译挑战、粤语点餐等趣味活动</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学习粤语。</w:t>
      </w:r>
    </w:p>
    <w:p w14:paraId="56A417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定期举办岭南文化手工艺艺术创作比赛、岭南非物质文化遗产展示及体验活动，吸引各年龄层</w:t>
      </w:r>
      <w:r>
        <w:rPr>
          <w:rFonts w:ascii="FangSong_GB2312" w:hAnsi="FangSong_GB2312" w:eastAsia="FangSong_GB2312" w:cs="FangSong_GB2312"/>
          <w:sz w:val="32"/>
          <w:szCs w:val="32"/>
          <w:lang w:val="zh-CN"/>
        </w:rPr>
        <w:t>及</w:t>
      </w:r>
      <w:r>
        <w:rPr>
          <w:rFonts w:hint="eastAsia" w:ascii="FangSong_GB2312" w:hAnsi="FangSong_GB2312" w:eastAsia="FangSong_GB2312" w:cs="FangSong_GB2312"/>
          <w:sz w:val="32"/>
          <w:szCs w:val="32"/>
        </w:rPr>
        <w:t>游客参与。</w:t>
      </w:r>
    </w:p>
    <w:p w14:paraId="70277E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文化大使计划：选择本地</w:t>
      </w:r>
      <w:r>
        <w:rPr>
          <w:rFonts w:ascii="FangSong_GB2312" w:hAnsi="FangSong_GB2312" w:eastAsia="FangSong_GB2312" w:cs="FangSong_GB2312"/>
          <w:sz w:val="32"/>
          <w:szCs w:val="32"/>
          <w:lang w:val="zh-CN"/>
        </w:rPr>
        <w:t>及港澳</w:t>
      </w:r>
      <w:r>
        <w:rPr>
          <w:rFonts w:hint="eastAsia" w:ascii="FangSong_GB2312" w:hAnsi="FangSong_GB2312" w:eastAsia="FangSong_GB2312" w:cs="FangSong_GB2312"/>
          <w:sz w:val="32"/>
          <w:szCs w:val="32"/>
        </w:rPr>
        <w:t>知名艺术家、学者、文化工作者、博主等作为岭南文化及粤语的</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大使</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，在社区</w:t>
      </w:r>
      <w:r>
        <w:rPr>
          <w:rFonts w:ascii="FangSong_GB2312" w:hAnsi="FangSong_GB2312" w:eastAsia="FangSong_GB2312" w:cs="FangSong_GB2312"/>
          <w:sz w:val="32"/>
          <w:szCs w:val="32"/>
          <w:lang w:val="zh-CN"/>
        </w:rPr>
        <w:t>及</w:t>
      </w:r>
      <w:r>
        <w:rPr>
          <w:rFonts w:hint="eastAsia" w:ascii="FangSong_GB2312" w:hAnsi="FangSong_GB2312" w:eastAsia="FangSong_GB2312" w:cs="FangSong_GB2312"/>
          <w:sz w:val="32"/>
          <w:szCs w:val="32"/>
        </w:rPr>
        <w:t>学校开展讲座、工作坊及示范活动，增强文化和语言的影响力。</w:t>
      </w:r>
    </w:p>
    <w:p w14:paraId="362F696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推动岭南文化教育，一同走出去</w:t>
      </w:r>
    </w:p>
    <w:p w14:paraId="53EC52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与番禺区各中小学合作，将岭南文化与粤语课程纳入教育体系，组织学生参与粤乐、粤剧体验课程，培养文化传承人才。</w:t>
      </w:r>
    </w:p>
    <w:p w14:paraId="2C1422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与港澳中小学建立</w:t>
      </w:r>
      <w:r>
        <w:rPr>
          <w:rFonts w:ascii="FangSong_GB2312" w:hAnsi="FangSong_GB2312" w:eastAsia="FangSong_GB2312" w:cs="FangSong_GB2312"/>
          <w:sz w:val="32"/>
          <w:szCs w:val="32"/>
          <w:lang w:val="zh-CN"/>
        </w:rPr>
        <w:t>姊</w:t>
      </w:r>
      <w:r>
        <w:rPr>
          <w:rFonts w:hint="eastAsia" w:ascii="FangSong_GB2312" w:hAnsi="FangSong_GB2312" w:eastAsia="FangSong_GB2312" w:cs="FangSong_GB2312"/>
          <w:sz w:val="32"/>
          <w:szCs w:val="32"/>
        </w:rPr>
        <w:t>妹学校机制，于长假期</w:t>
      </w:r>
      <w:r>
        <w:rPr>
          <w:rFonts w:hint="eastAsia" w:ascii="FangSong_GB2312" w:hAnsi="FangSong_GB2312" w:eastAsia="FangSong_GB2312" w:cs="FangSong_GB2312"/>
          <w:sz w:val="32"/>
          <w:szCs w:val="32"/>
          <w:lang w:val="zh-CN"/>
        </w:rPr>
        <w:t>时</w:t>
      </w:r>
      <w:r>
        <w:rPr>
          <w:rFonts w:hint="eastAsia" w:ascii="FangSong_GB2312" w:hAnsi="FangSong_GB2312" w:eastAsia="FangSong_GB2312" w:cs="FangSong_GB2312"/>
          <w:sz w:val="32"/>
          <w:szCs w:val="32"/>
        </w:rPr>
        <w:t>组织学生到港澳交流，实行“学粤语、听粤语、用粤语”。</w:t>
      </w:r>
    </w:p>
    <w:p w14:paraId="1B7C4C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潇洒走一回——岭南文化区域的高铁之旅，让港澳与番禺青年学生在“同心同团”旅游中交流。</w:t>
      </w:r>
    </w:p>
    <w:p w14:paraId="0A885B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（二）构建创意岭南文化走廊</w:t>
      </w:r>
    </w:p>
    <w:p w14:paraId="2C2362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1.设计并串联整个南粤文化文化节点，打造岭南文化旅游走廊</w:t>
      </w:r>
    </w:p>
    <w:p w14:paraId="648003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以番禺</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新八景</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为起点，连接广州市文化馆新馆、佛山的岭南天地、香港的黄大仙庙、香港特色建筑（如战前唐楼群）、澳门的世遗（如郑家大屋）等文化节点，规划岭南文化旅游路线。</w:t>
      </w:r>
    </w:p>
    <w:p w14:paraId="1E1A42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设计</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高铁岭南文化专线</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，串联大湾区主要城市，让游客轻松畅游岭南文化区域深度游。</w:t>
      </w:r>
    </w:p>
    <w:p w14:paraId="706C0D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设计</w:t>
      </w:r>
      <w:r>
        <w:rPr>
          <w:rFonts w:ascii="FangSong_GB2312" w:hAnsi="FangSong_GB2312" w:eastAsia="FangSong_GB2312" w:cs="FangSong_GB2312"/>
          <w:sz w:val="32"/>
          <w:szCs w:val="32"/>
          <w:lang w:val="zh-CN"/>
        </w:rPr>
        <w:t>《自在游》</w:t>
      </w:r>
      <w:r>
        <w:rPr>
          <w:rFonts w:hint="eastAsia" w:ascii="FangSong_GB2312" w:hAnsi="FangSong_GB2312" w:eastAsia="FangSong_GB2312" w:cs="FangSong_GB2312"/>
          <w:sz w:val="32"/>
          <w:szCs w:val="32"/>
        </w:rPr>
        <w:t>的</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岭南文化绿色新能源汽车自驾路线</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，联动番禺区内的新能源汽车制造商品牌，提供新车租赁</w:t>
      </w:r>
      <w:r>
        <w:rPr>
          <w:rFonts w:hint="eastAsia" w:ascii="FangSong_GB2312" w:hAnsi="FangSong_GB2312" w:eastAsia="FangSong_GB2312" w:cs="FangSong_GB2312"/>
          <w:sz w:val="32"/>
          <w:szCs w:val="32"/>
          <w:lang w:val="zh-CN"/>
        </w:rPr>
        <w:t>旅游</w:t>
      </w:r>
      <w:r>
        <w:rPr>
          <w:rFonts w:hint="eastAsia" w:ascii="FangSong_GB2312" w:hAnsi="FangSong_GB2312" w:eastAsia="FangSong_GB2312" w:cs="FangSong_GB2312"/>
          <w:sz w:val="32"/>
          <w:szCs w:val="32"/>
        </w:rPr>
        <w:t>试驾</w:t>
      </w:r>
      <w:r>
        <w:rPr>
          <w:rFonts w:hint="eastAsia" w:ascii="FangSong_GB2312" w:hAnsi="FangSong_GB2312" w:eastAsia="FangSong_GB2312" w:cs="FangSong_GB2312"/>
          <w:sz w:val="32"/>
          <w:szCs w:val="32"/>
          <w:lang w:val="zh-CN"/>
        </w:rPr>
        <w:t>优惠</w:t>
      </w:r>
      <w:r>
        <w:rPr>
          <w:rFonts w:hint="eastAsia" w:ascii="FangSong_GB2312" w:hAnsi="FangSong_GB2312" w:eastAsia="FangSong_GB2312" w:cs="FangSong_GB2312"/>
          <w:sz w:val="32"/>
          <w:szCs w:val="32"/>
        </w:rPr>
        <w:t>，让潜在客户</w:t>
      </w:r>
      <w:r>
        <w:rPr>
          <w:rFonts w:ascii="FangSong_GB2312" w:hAnsi="FangSong_GB2312" w:eastAsia="FangSong_GB2312" w:cs="FangSong_GB2312"/>
          <w:sz w:val="32"/>
          <w:szCs w:val="32"/>
          <w:lang w:val="zh-CN"/>
        </w:rPr>
        <w:t>在</w:t>
      </w:r>
      <w:r>
        <w:rPr>
          <w:rFonts w:hint="eastAsia" w:ascii="FangSong_GB2312" w:hAnsi="FangSong_GB2312" w:eastAsia="FangSong_GB2312" w:cs="FangSong_GB2312"/>
          <w:sz w:val="32"/>
          <w:szCs w:val="32"/>
        </w:rPr>
        <w:t>愉快体验</w:t>
      </w:r>
      <w:r>
        <w:rPr>
          <w:rFonts w:ascii="FangSong_GB2312" w:hAnsi="FangSong_GB2312" w:eastAsia="FangSong_GB2312" w:cs="FangSong_GB2312"/>
          <w:sz w:val="32"/>
          <w:szCs w:val="32"/>
          <w:lang w:val="zh-CN"/>
        </w:rPr>
        <w:t>后</w:t>
      </w:r>
      <w:r>
        <w:rPr>
          <w:rFonts w:hint="eastAsia" w:ascii="FangSong_GB2312" w:hAnsi="FangSong_GB2312" w:eastAsia="FangSong_GB2312" w:cs="FangSong_GB2312"/>
          <w:sz w:val="32"/>
          <w:szCs w:val="32"/>
        </w:rPr>
        <w:t>带动将来的新车购买欲。</w:t>
      </w:r>
    </w:p>
    <w:p w14:paraId="7C3DA5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2.推广</w:t>
      </w:r>
      <w:r>
        <w:rPr>
          <w:rFonts w:hint="eastAsia" w:ascii="楷体_GB2312" w:hAnsi="楷体_GB2312" w:eastAsia="楷体_GB2312" w:cs="楷体_GB2312"/>
          <w:sz w:val="32"/>
          <w:szCs w:val="32"/>
          <w:lang w:val="zh-CN"/>
        </w:rPr>
        <w:t>“</w:t>
      </w:r>
      <w:r>
        <w:rPr>
          <w:rFonts w:hint="eastAsia" w:ascii="楷体_GB2312" w:hAnsi="楷体_GB2312" w:eastAsia="楷体_GB2312" w:cs="楷体_GB2312"/>
          <w:sz w:val="32"/>
          <w:szCs w:val="32"/>
        </w:rPr>
        <w:t>岭南文旅护照</w:t>
      </w:r>
      <w:r>
        <w:rPr>
          <w:rFonts w:hint="eastAsia" w:ascii="楷体_GB2312" w:hAnsi="楷体_GB2312" w:eastAsia="楷体_GB2312" w:cs="楷体_GB2312"/>
          <w:sz w:val="32"/>
          <w:szCs w:val="32"/>
          <w:lang w:val="zh-CN"/>
        </w:rPr>
        <w:t>”</w:t>
      </w:r>
      <w:r>
        <w:rPr>
          <w:rFonts w:hint="eastAsia" w:ascii="楷体_GB2312" w:hAnsi="楷体_GB2312" w:eastAsia="楷体_GB2312" w:cs="楷体_GB2312"/>
          <w:sz w:val="32"/>
          <w:szCs w:val="32"/>
        </w:rPr>
        <w:t>计划</w:t>
      </w:r>
    </w:p>
    <w:p w14:paraId="587291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游客可通</w:t>
      </w:r>
      <w:r>
        <w:rPr>
          <w:rFonts w:ascii="FangSong_GB2312" w:hAnsi="FangSong_GB2312" w:eastAsia="FangSong_GB2312" w:cs="FangSong_GB2312"/>
          <w:sz w:val="32"/>
          <w:szCs w:val="32"/>
          <w:lang w:val="zh-CN"/>
        </w:rPr>
        <w:t>过</w:t>
      </w:r>
      <w:r>
        <w:rPr>
          <w:rFonts w:hint="eastAsia" w:ascii="FangSong_GB2312" w:hAnsi="FangSong_GB2312" w:eastAsia="FangSong_GB2312" w:cs="FangSong_GB2312"/>
          <w:sz w:val="32"/>
          <w:szCs w:val="32"/>
          <w:lang w:val="zh-CN"/>
        </w:rPr>
        <w:t>二维码</w:t>
      </w:r>
      <w:r>
        <w:rPr>
          <w:rFonts w:hint="eastAsia" w:ascii="FangSong_GB2312" w:hAnsi="FangSong_GB2312" w:eastAsia="FangSong_GB2312" w:cs="FangSong_GB2312"/>
          <w:sz w:val="32"/>
          <w:szCs w:val="32"/>
        </w:rPr>
        <w:t>打卡，兑换限量文创（如粤语黑胶唱片、广绣胸针</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lang w:val="zh-CN"/>
        </w:rPr>
        <w:t>潮玩</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lang w:val="zh-CN"/>
        </w:rPr>
        <w:t>盲盒角色</w:t>
      </w:r>
      <w:r>
        <w:rPr>
          <w:rFonts w:hint="eastAsia" w:ascii="FangSong_GB2312" w:hAnsi="FangSong_GB2312" w:eastAsia="FangSong_GB2312" w:cs="FangSong_GB2312"/>
          <w:sz w:val="32"/>
          <w:szCs w:val="32"/>
        </w:rPr>
        <w:t>）；同步上线“美食护照”，打卡姜埋奶、猪杂粥等特色美食可享折扣。</w:t>
      </w:r>
    </w:p>
    <w:p w14:paraId="29496E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三</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推进岭南文化超级IP计划  </w:t>
      </w:r>
    </w:p>
    <w:p w14:paraId="79C2E7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1.建立广府文化生态保护区  </w:t>
      </w:r>
    </w:p>
    <w:p w14:paraId="45271C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以沙湾古镇、余荫山房、宝墨园为核心，整合文化资源，建设</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广府文化生态保护区</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，重点保护岭南传统建筑、非遗技艺与民俗文化，提升游客的文化体验。 </w:t>
      </w:r>
    </w:p>
    <w:p w14:paraId="363EB5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ascii="FangSong_GB2312" w:hAnsi="FangSong_GB2312" w:eastAsia="FangSong_GB2312" w:cs="FangSong_GB2312"/>
          <w:sz w:val="32"/>
          <w:szCs w:val="32"/>
        </w:rPr>
        <w:t>2</w:t>
      </w:r>
      <w:r>
        <w:rPr>
          <w:rFonts w:hint="eastAsia" w:ascii="FangSong_GB2312" w:hAnsi="FangSong_GB2312" w:eastAsia="FangSong_GB2312" w:cs="FangSong_GB2312"/>
          <w:sz w:val="32"/>
          <w:szCs w:val="32"/>
        </w:rPr>
        <w:t>.数字化与科技创新体验</w:t>
      </w:r>
    </w:p>
    <w:p w14:paraId="1EB6B6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开发</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岭南文化元宇宙</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：游客可通过AR眼镜在沙湾古镇</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穿越</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至</w:t>
      </w:r>
      <w:r>
        <w:rPr>
          <w:rFonts w:ascii="FangSong_GB2312" w:hAnsi="FangSong_GB2312" w:eastAsia="FangSong_GB2312" w:cs="FangSong_GB2312"/>
          <w:sz w:val="32"/>
          <w:szCs w:val="32"/>
          <w:lang w:val="zh-CN"/>
        </w:rPr>
        <w:t>古</w:t>
      </w:r>
      <w:r>
        <w:rPr>
          <w:rFonts w:hint="eastAsia" w:ascii="FangSong_GB2312" w:hAnsi="FangSong_GB2312" w:eastAsia="FangSong_GB2312" w:cs="FangSong_GB2312"/>
          <w:sz w:val="32"/>
          <w:szCs w:val="32"/>
        </w:rPr>
        <w:t>代市集，参与虚拟粤剧表演</w:t>
      </w:r>
      <w:r>
        <w:rPr>
          <w:rFonts w:ascii="FangSong_GB2312" w:hAnsi="FangSong_GB2312" w:eastAsia="FangSong_GB2312" w:cs="FangSong_GB2312"/>
          <w:sz w:val="32"/>
          <w:szCs w:val="32"/>
          <w:lang w:val="zh-CN"/>
        </w:rPr>
        <w:t>等</w:t>
      </w:r>
      <w:r>
        <w:rPr>
          <w:rFonts w:hint="eastAsia" w:ascii="FangSong_GB2312" w:hAnsi="FangSong_GB2312" w:eastAsia="FangSong_GB2312" w:cs="FangSong_GB2312"/>
          <w:sz w:val="32"/>
          <w:szCs w:val="32"/>
        </w:rPr>
        <w:t xml:space="preserve">。 </w:t>
      </w:r>
    </w:p>
    <w:p w14:paraId="355394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创建</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广东音乐互动体验室</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，游客可通过VR体验广东音乐表演，尝试演奏扬琴、琵琶等传统乐器。</w:t>
      </w:r>
    </w:p>
    <w:p w14:paraId="64D0E9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创建互动式的文化学习平台，让年轻一代在游戏中了解和学习岭南文化及粤语。</w:t>
      </w:r>
    </w:p>
    <w:p w14:paraId="70B1B1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3.设立文创产品设计大赛与产业孵化基地  </w:t>
      </w:r>
    </w:p>
    <w:p w14:paraId="6BEB2D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举办</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岭南文创设计大赛</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，设立产业孵化基地，支持青年将粤语歌谣、广彩陶瓷等元素融入潮玩、盲盒等新业态。 </w:t>
      </w:r>
    </w:p>
    <w:p w14:paraId="6601FA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4.策划</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番禺故事</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全球传播工程 </w:t>
      </w:r>
    </w:p>
    <w:p w14:paraId="70F09D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制作多语种短视频，邀请网红博主</w:t>
      </w:r>
      <w:r>
        <w:rPr>
          <w:rFonts w:ascii="FangSong_GB2312" w:hAnsi="FangSong_GB2312" w:eastAsia="FangSong_GB2312" w:cs="FangSong_GB2312"/>
          <w:sz w:val="32"/>
          <w:szCs w:val="32"/>
          <w:lang w:val="zh-CN"/>
        </w:rPr>
        <w:t>及</w:t>
      </w:r>
      <w:r>
        <w:rPr>
          <w:rFonts w:hint="eastAsia" w:ascii="FangSong_GB2312" w:hAnsi="FangSong_GB2312" w:eastAsia="FangSong_GB2312" w:cs="FangSong_GB2312"/>
          <w:sz w:val="32"/>
          <w:szCs w:val="32"/>
          <w:lang w:val="zh-CN"/>
        </w:rPr>
        <w:t>潮玩</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lang w:val="zh-CN"/>
        </w:rPr>
        <w:t>盲盒</w:t>
      </w:r>
      <w:r>
        <w:rPr>
          <w:rFonts w:ascii="FangSong_GB2312" w:hAnsi="FangSong_GB2312" w:eastAsia="FangSong_GB2312" w:cs="FangSong_GB2312"/>
          <w:sz w:val="32"/>
          <w:szCs w:val="32"/>
          <w:lang w:val="zh-CN"/>
        </w:rPr>
        <w:t>角</w:t>
      </w:r>
      <w:r>
        <w:rPr>
          <w:rFonts w:hint="eastAsia" w:ascii="FangSong_GB2312" w:hAnsi="FangSong_GB2312" w:eastAsia="FangSong_GB2312" w:cs="FangSong_GB2312"/>
          <w:sz w:val="32"/>
          <w:szCs w:val="32"/>
          <w:lang w:val="zh-CN"/>
        </w:rPr>
        <w:t>色</w:t>
      </w:r>
      <w:r>
        <w:rPr>
          <w:rFonts w:hint="eastAsia" w:ascii="FangSong_GB2312" w:hAnsi="FangSong_GB2312" w:eastAsia="FangSong_GB2312" w:cs="FangSong_GB2312"/>
          <w:sz w:val="32"/>
          <w:szCs w:val="32"/>
        </w:rPr>
        <w:t>拍摄“岭南文化探秘”系列，通过TikTok、YouTube等平台推广</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提升岭南文化国际影响力。</w:t>
      </w:r>
    </w:p>
    <w:p w14:paraId="25A69D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5.开发沉浸式非遗体验路线，举办岭南民俗文化节</w:t>
      </w:r>
    </w:p>
    <w:p w14:paraId="68BAE8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利用现代技术展示飘色、龙狮、广绣等非遗文化，举办岭南民俗文化节，吸引年轻人及游客参与，增强对岭南文化的认同感。</w:t>
      </w:r>
    </w:p>
    <w:p w14:paraId="4BA044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研究汇入</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番禺龙舟竞渡</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及邀请赛，成为岭南文化节的端午节系列活动。</w:t>
      </w:r>
    </w:p>
    <w:p w14:paraId="50520A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开发</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岭南古村夜游</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项目，通过灯光与互动展览展示大岭村的历史与文化魅力。（如幻彩耀濠江光影节）</w:t>
      </w:r>
    </w:p>
    <w:p w14:paraId="7D86F8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w:t>
      </w:r>
      <w:r>
        <w:rPr>
          <w:rFonts w:ascii="FangSong_GB2312" w:hAnsi="FangSong_GB2312" w:eastAsia="FangSong_GB2312" w:cs="FangSong_GB2312"/>
          <w:sz w:val="32"/>
          <w:szCs w:val="32"/>
          <w:lang w:val="zh-CN"/>
        </w:rPr>
        <w:t>四</w:t>
      </w:r>
      <w:r>
        <w:rPr>
          <w:rFonts w:hint="eastAsia" w:ascii="FangSong_GB2312" w:hAnsi="FangSong_GB2312" w:eastAsia="FangSong_GB2312" w:cs="FangSong_GB2312"/>
          <w:sz w:val="32"/>
          <w:szCs w:val="32"/>
        </w:rPr>
        <w:t xml:space="preserve">）音乐赋能文化传播  </w:t>
      </w:r>
    </w:p>
    <w:p w14:paraId="3DF8FB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举办</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岭南音乐季</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，邀请陈慧娴、许志安等</w:t>
      </w:r>
      <w:r>
        <w:rPr>
          <w:rFonts w:ascii="FangSong_GB2312" w:hAnsi="FangSong_GB2312" w:eastAsia="FangSong_GB2312" w:cs="FangSong_GB2312"/>
          <w:sz w:val="32"/>
          <w:szCs w:val="32"/>
          <w:lang w:val="zh-CN"/>
        </w:rPr>
        <w:t>番</w:t>
      </w:r>
      <w:r>
        <w:rPr>
          <w:rFonts w:hint="eastAsia" w:ascii="FangSong_GB2312" w:hAnsi="FangSong_GB2312" w:eastAsia="FangSong_GB2312" w:cs="FangSong_GB2312"/>
          <w:sz w:val="32"/>
          <w:szCs w:val="32"/>
          <w:lang w:val="zh-CN"/>
        </w:rPr>
        <w:t>禺籍</w:t>
      </w:r>
      <w:r>
        <w:rPr>
          <w:rFonts w:hint="eastAsia" w:ascii="FangSong_GB2312" w:hAnsi="FangSong_GB2312" w:eastAsia="FangSong_GB2312" w:cs="FangSong_GB2312"/>
          <w:sz w:val="32"/>
          <w:szCs w:val="32"/>
        </w:rPr>
        <w:t>歌手担任评委，发起</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广东歌创作大赛</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，优秀作品纳入</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岭南文化走廊</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 xml:space="preserve">主题曲库。 </w:t>
      </w:r>
    </w:p>
    <w:p w14:paraId="0BD1F4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在宝墨园、大岭村等节点打造</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粤乐星空夜</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，结合灯光秀与露天广东歌</w:t>
      </w:r>
      <w:r>
        <w:rPr>
          <w:rFonts w:ascii="FangSong_GB2312" w:hAnsi="FangSong_GB2312" w:eastAsia="FangSong_GB2312" w:cs="FangSong_GB2312"/>
          <w:sz w:val="32"/>
          <w:szCs w:val="32"/>
          <w:lang w:val="zh-CN"/>
        </w:rPr>
        <w:t>音</w:t>
      </w:r>
      <w:r>
        <w:rPr>
          <w:rFonts w:hint="eastAsia" w:ascii="FangSong_GB2312" w:hAnsi="FangSong_GB2312" w:eastAsia="FangSong_GB2312" w:cs="FangSong_GB2312"/>
          <w:sz w:val="32"/>
          <w:szCs w:val="32"/>
        </w:rPr>
        <w:t>乐会，吸引年轻群体。</w:t>
      </w:r>
    </w:p>
    <w:p w14:paraId="1EE8F9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zh-CN"/>
        </w:rPr>
        <w:t>二、政</w:t>
      </w:r>
      <w:r>
        <w:rPr>
          <w:rFonts w:hint="eastAsia" w:ascii="黑体" w:hAnsi="黑体" w:eastAsia="黑体" w:cs="黑体"/>
          <w:b w:val="0"/>
          <w:bCs w:val="0"/>
          <w:sz w:val="32"/>
          <w:szCs w:val="32"/>
        </w:rPr>
        <w:t>策支持与保障</w:t>
      </w:r>
    </w:p>
    <w:p w14:paraId="6AC9C2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1.建议设立岭南文化专责部门或工作小组：建议设立</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岭南文化传承与创新促进办公室</w:t>
      </w:r>
      <w:r>
        <w:rPr>
          <w:rFonts w:hint="eastAsia"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，统筹文化资源整合、文化活动策划和岭南文化超级IP运营。</w:t>
      </w:r>
    </w:p>
    <w:p w14:paraId="1947ED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2.资金与政策支持：</w:t>
      </w:r>
    </w:p>
    <w:p w14:paraId="440734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申请中央、省级文化专项资金，支持岭南文化保护与创新项目。 </w:t>
      </w:r>
    </w:p>
    <w:p w14:paraId="594534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制定岭南文化产业扶持政策，吸引更多企业和社会资本参与文化建设。 </w:t>
      </w:r>
    </w:p>
    <w:p w14:paraId="281C01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3.人才培养与国际合作：</w:t>
      </w:r>
    </w:p>
    <w:p w14:paraId="4F05D1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与广州大学、香港理工大学等高校合作，培养岭南文化研究与创意产业人才，推动岭南文化“走出去”，提升国际知名度。</w:t>
      </w:r>
    </w:p>
    <w:p w14:paraId="2D38038C">
      <w:pPr>
        <w:pStyle w:val="10"/>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预期效果</w:t>
      </w:r>
    </w:p>
    <w:p w14:paraId="535B7D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1.文化认同感提升：通过文化教育与推广活动，番禺</w:t>
      </w:r>
      <w:r>
        <w:rPr>
          <w:rFonts w:ascii="FangSong_GB2312" w:hAnsi="FangSong_GB2312" w:eastAsia="FangSong_GB2312" w:cs="FangSong_GB2312"/>
          <w:sz w:val="32"/>
          <w:szCs w:val="32"/>
          <w:lang w:val="zh-CN"/>
        </w:rPr>
        <w:t>人</w:t>
      </w:r>
      <w:r>
        <w:rPr>
          <w:rFonts w:hint="eastAsia" w:ascii="FangSong_GB2312" w:hAnsi="FangSong_GB2312" w:eastAsia="FangSong_GB2312" w:cs="FangSong_GB2312"/>
          <w:sz w:val="32"/>
          <w:szCs w:val="32"/>
        </w:rPr>
        <w:t>对岭南文化的认同率预期提升50%以上。</w:t>
      </w:r>
    </w:p>
    <w:p w14:paraId="42E646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2.旅游经济增长：预计</w:t>
      </w:r>
      <w:r>
        <w:rPr>
          <w:rFonts w:ascii="FangSong_GB2312" w:hAnsi="FangSong_GB2312" w:eastAsia="FangSong_GB2312" w:cs="FangSong_GB2312"/>
          <w:sz w:val="32"/>
          <w:szCs w:val="32"/>
        </w:rPr>
        <w:t>3</w:t>
      </w:r>
      <w:r>
        <w:rPr>
          <w:rFonts w:ascii="FangSong_GB2312" w:hAnsi="FangSong_GB2312" w:eastAsia="FangSong_GB2312" w:cs="FangSong_GB2312"/>
          <w:sz w:val="32"/>
          <w:szCs w:val="32"/>
          <w:lang w:val="zh-CN"/>
        </w:rPr>
        <w:t>年內</w:t>
      </w:r>
      <w:r>
        <w:rPr>
          <w:rFonts w:hint="eastAsia" w:ascii="FangSong_GB2312" w:hAnsi="FangSong_GB2312" w:eastAsia="FangSong_GB2312" w:cs="FangSong_GB2312"/>
          <w:sz w:val="32"/>
          <w:szCs w:val="32"/>
        </w:rPr>
        <w:t>将吸引150万名游客参与、观光及消费，带动</w:t>
      </w:r>
      <w:r>
        <w:rPr>
          <w:rFonts w:ascii="FangSong_GB2312" w:hAnsi="FangSong_GB2312" w:eastAsia="FangSong_GB2312" w:cs="FangSong_GB2312"/>
          <w:sz w:val="32"/>
          <w:szCs w:val="32"/>
          <w:lang w:val="zh-CN"/>
        </w:rPr>
        <w:t>文</w:t>
      </w:r>
      <w:r>
        <w:rPr>
          <w:rFonts w:hint="eastAsia" w:ascii="FangSong_GB2312" w:hAnsi="FangSong_GB2312" w:eastAsia="FangSong_GB2312" w:cs="FangSong_GB2312"/>
          <w:sz w:val="32"/>
          <w:szCs w:val="32"/>
        </w:rPr>
        <w:t>旅收入增长。</w:t>
      </w:r>
    </w:p>
    <w:p w14:paraId="09EC02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3.文化效益：粤语使用率提升20%，非遗项目活化率达</w:t>
      </w:r>
      <w:r>
        <w:rPr>
          <w:rFonts w:ascii="FangSong_GB2312" w:hAnsi="FangSong_GB2312" w:eastAsia="FangSong_GB2312" w:cs="FangSong_GB2312"/>
          <w:sz w:val="32"/>
          <w:szCs w:val="32"/>
        </w:rPr>
        <w:t>5</w:t>
      </w:r>
      <w:r>
        <w:rPr>
          <w:rFonts w:hint="eastAsia" w:ascii="FangSong_GB2312" w:hAnsi="FangSong_GB2312" w:eastAsia="FangSong_GB2312" w:cs="FangSong_GB2312"/>
          <w:sz w:val="32"/>
          <w:szCs w:val="32"/>
        </w:rPr>
        <w:t>0%，国际传播覆盖</w:t>
      </w:r>
      <w:r>
        <w:rPr>
          <w:rFonts w:ascii="FangSong_GB2312" w:hAnsi="FangSong_GB2312" w:eastAsia="FangSong_GB2312" w:cs="FangSong_GB2312"/>
          <w:sz w:val="32"/>
          <w:szCs w:val="32"/>
        </w:rPr>
        <w:t>4</w:t>
      </w:r>
      <w:r>
        <w:rPr>
          <w:rFonts w:hint="eastAsia" w:ascii="FangSong_GB2312" w:hAnsi="FangSong_GB2312" w:eastAsia="FangSong_GB2312" w:cs="FangSong_GB2312"/>
          <w:sz w:val="32"/>
          <w:szCs w:val="32"/>
        </w:rPr>
        <w:t>0+国家。</w:t>
      </w:r>
      <w:r>
        <w:rPr>
          <w:rFonts w:ascii="FangSong_GB2312" w:hAnsi="FangSong_GB2312" w:eastAsia="FangSong_GB2312" w:cs="FangSong_GB2312"/>
          <w:sz w:val="32"/>
          <w:szCs w:val="32"/>
        </w:rPr>
        <w:t xml:space="preserve">               </w:t>
      </w:r>
    </w:p>
    <w:p w14:paraId="348989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4.国际影响力增强：通过超级IP计划，实现</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番禺故事</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全球触达超</w:t>
      </w:r>
      <w:r>
        <w:rPr>
          <w:rFonts w:ascii="FangSong_GB2312" w:hAnsi="FangSong_GB2312" w:eastAsia="FangSong_GB2312" w:cs="FangSong_GB2312"/>
          <w:sz w:val="32"/>
          <w:szCs w:val="32"/>
        </w:rPr>
        <w:t>5</w:t>
      </w:r>
      <w:r>
        <w:rPr>
          <w:rFonts w:hint="eastAsia" w:ascii="FangSong_GB2312" w:hAnsi="FangSong_GB2312" w:eastAsia="FangSong_GB2312" w:cs="FangSong_GB2312"/>
          <w:sz w:val="32"/>
          <w:szCs w:val="32"/>
          <w:lang w:val="zh-CN"/>
        </w:rPr>
        <w:t>千万</w:t>
      </w:r>
      <w:r>
        <w:rPr>
          <w:rFonts w:hint="eastAsia" w:ascii="FangSong_GB2312" w:hAnsi="FangSong_GB2312" w:eastAsia="FangSong_GB2312" w:cs="FangSong_GB2312"/>
          <w:sz w:val="32"/>
          <w:szCs w:val="32"/>
        </w:rPr>
        <w:t>人次，助力岭南文化成为</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中国名片</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。让世界各地旅客及海外侨胞可随时灵动，即时感受</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现在、过去与未来</w:t>
      </w:r>
      <w:r>
        <w:rPr>
          <w:rFonts w:hint="eastAsia" w:ascii="FangSong_GB2312" w:hAnsi="FangSong_GB2312" w:eastAsia="FangSong_GB2312" w:cs="FangSong_GB2312"/>
          <w:sz w:val="32"/>
          <w:szCs w:val="32"/>
          <w:lang w:eastAsia="zh-CN"/>
        </w:rPr>
        <w:t>”</w:t>
      </w:r>
      <w:r>
        <w:rPr>
          <w:rFonts w:hint="eastAsia" w:ascii="FangSong_GB2312" w:hAnsi="FangSong_GB2312" w:eastAsia="FangSong_GB2312" w:cs="FangSong_GB2312"/>
          <w:sz w:val="32"/>
          <w:szCs w:val="32"/>
        </w:rPr>
        <w:t>的岭南特式文化。促使他们有更大的诱因回来走走，亲眼</w:t>
      </w:r>
      <w:r>
        <w:rPr>
          <w:rFonts w:ascii="FangSong_GB2312" w:hAnsi="FangSong_GB2312" w:eastAsia="FangSong_GB2312" w:cs="FangSong_GB2312"/>
          <w:sz w:val="32"/>
          <w:szCs w:val="32"/>
          <w:lang w:val="zh-CN"/>
        </w:rPr>
        <w:t>感受变</w:t>
      </w:r>
      <w:r>
        <w:rPr>
          <w:rFonts w:hint="eastAsia" w:ascii="FangSong_GB2312" w:hAnsi="FangSong_GB2312" w:eastAsia="FangSong_GB2312" w:cs="FangSong_GB2312"/>
          <w:sz w:val="32"/>
          <w:szCs w:val="32"/>
        </w:rPr>
        <w:t>得更好、更美、更宜居的番禺。</w:t>
      </w:r>
    </w:p>
    <w:p w14:paraId="2A533D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zh-CN"/>
        </w:rPr>
        <w:t>四、</w:t>
      </w:r>
      <w:r>
        <w:rPr>
          <w:rFonts w:hint="eastAsia" w:ascii="黑体" w:hAnsi="黑体" w:eastAsia="黑体" w:cs="黑体"/>
          <w:b w:val="0"/>
          <w:bCs w:val="0"/>
          <w:sz w:val="32"/>
          <w:szCs w:val="32"/>
        </w:rPr>
        <w:t>结语</w:t>
      </w:r>
    </w:p>
    <w:p w14:paraId="2B95F0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本提案以</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超级IP+数字创新</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为核心，通过资源整合、青年赋能与国际传播，构建岭南文化传承与发展的全新生态，助力番禺成为粤港澳大湾区文化高地，为岭南文化发展提供新动能</w:t>
      </w:r>
      <w:r>
        <w:rPr>
          <w:rFonts w:ascii="FangSong_GB2312" w:hAnsi="FangSong_GB2312" w:eastAsia="FangSong_GB2312" w:cs="FangSong_GB2312"/>
          <w:sz w:val="32"/>
          <w:szCs w:val="32"/>
          <w:lang w:val="zh-CN"/>
        </w:rPr>
        <w:t>，</w:t>
      </w:r>
      <w:r>
        <w:rPr>
          <w:rFonts w:hint="eastAsia" w:ascii="FangSong_GB2312" w:hAnsi="FangSong_GB2312" w:eastAsia="FangSong_GB2312" w:cs="FangSong_GB2312"/>
          <w:sz w:val="32"/>
          <w:szCs w:val="32"/>
        </w:rPr>
        <w:t>向世界传递岭南之美。</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FangSong_GB2312">
    <w:altName w:val="仿宋_GB2312"/>
    <w:panose1 w:val="020B0604020202020204"/>
    <w:charset w:val="86"/>
    <w:family w:val="auto"/>
    <w:pitch w:val="default"/>
    <w:sig w:usb0="00000000" w:usb1="00000000" w:usb2="00000010" w:usb3="00000000" w:csb0="0004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8EF2F">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FA336">
                          <w:pPr>
                            <w:pStyle w:val="5"/>
                            <w:rPr>
                              <w:rFonts w:ascii="FangSong_GB2312" w:hAnsi="FangSong_GB2312" w:eastAsia="FangSong_GB2312" w:cs="FangSong_GB2312"/>
                              <w:sz w:val="28"/>
                              <w:szCs w:val="28"/>
                            </w:rPr>
                          </w:pPr>
                          <w:r>
                            <w:rPr>
                              <w:rFonts w:hint="eastAsia" w:ascii="FangSong_GB2312" w:hAnsi="FangSong_GB2312" w:eastAsia="FangSong_GB2312" w:cs="FangSong_GB2312"/>
                              <w:sz w:val="28"/>
                              <w:szCs w:val="28"/>
                            </w:rPr>
                            <w:t xml:space="preserve">— </w:t>
                          </w:r>
                          <w:r>
                            <w:rPr>
                              <w:rFonts w:hint="eastAsia" w:ascii="FangSong_GB2312" w:hAnsi="FangSong_GB2312" w:eastAsia="FangSong_GB2312" w:cs="FangSong_GB2312"/>
                              <w:sz w:val="28"/>
                              <w:szCs w:val="28"/>
                            </w:rPr>
                            <w:fldChar w:fldCharType="begin"/>
                          </w:r>
                          <w:r>
                            <w:rPr>
                              <w:rFonts w:hint="eastAsia" w:ascii="FangSong_GB2312" w:hAnsi="FangSong_GB2312" w:eastAsia="FangSong_GB2312" w:cs="FangSong_GB2312"/>
                              <w:sz w:val="28"/>
                              <w:szCs w:val="28"/>
                            </w:rPr>
                            <w:instrText xml:space="preserve"> PAGE  \* MERGEFORMAT </w:instrText>
                          </w:r>
                          <w:r>
                            <w:rPr>
                              <w:rFonts w:hint="eastAsia" w:ascii="FangSong_GB2312" w:hAnsi="FangSong_GB2312" w:eastAsia="FangSong_GB2312" w:cs="FangSong_GB2312"/>
                              <w:sz w:val="28"/>
                              <w:szCs w:val="28"/>
                            </w:rPr>
                            <w:fldChar w:fldCharType="separate"/>
                          </w:r>
                          <w:r>
                            <w:rPr>
                              <w:rFonts w:hint="eastAsia" w:ascii="FangSong_GB2312" w:hAnsi="FangSong_GB2312" w:eastAsia="FangSong_GB2312" w:cs="FangSong_GB2312"/>
                              <w:sz w:val="28"/>
                              <w:szCs w:val="28"/>
                            </w:rPr>
                            <w:t>1</w:t>
                          </w:r>
                          <w:r>
                            <w:rPr>
                              <w:rFonts w:hint="eastAsia" w:ascii="FangSong_GB2312" w:hAnsi="FangSong_GB2312" w:eastAsia="FangSong_GB2312" w:cs="FangSong_GB2312"/>
                              <w:sz w:val="28"/>
                              <w:szCs w:val="28"/>
                            </w:rPr>
                            <w:fldChar w:fldCharType="end"/>
                          </w:r>
                          <w:r>
                            <w:rPr>
                              <w:rFonts w:hint="eastAsia" w:ascii="FangSong_GB2312" w:hAnsi="FangSong_GB2312" w:eastAsia="FangSong_GB2312" w:cs="FangSong_GB2312"/>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FAFA336">
                    <w:pPr>
                      <w:pStyle w:val="5"/>
                      <w:rPr>
                        <w:rFonts w:ascii="FangSong_GB2312" w:hAnsi="FangSong_GB2312" w:eastAsia="FangSong_GB2312" w:cs="FangSong_GB2312"/>
                        <w:sz w:val="28"/>
                        <w:szCs w:val="28"/>
                      </w:rPr>
                    </w:pPr>
                    <w:r>
                      <w:rPr>
                        <w:rFonts w:hint="eastAsia" w:ascii="FangSong_GB2312" w:hAnsi="FangSong_GB2312" w:eastAsia="FangSong_GB2312" w:cs="FangSong_GB2312"/>
                        <w:sz w:val="28"/>
                        <w:szCs w:val="28"/>
                      </w:rPr>
                      <w:t xml:space="preserve">— </w:t>
                    </w:r>
                    <w:r>
                      <w:rPr>
                        <w:rFonts w:hint="eastAsia" w:ascii="FangSong_GB2312" w:hAnsi="FangSong_GB2312" w:eastAsia="FangSong_GB2312" w:cs="FangSong_GB2312"/>
                        <w:sz w:val="28"/>
                        <w:szCs w:val="28"/>
                      </w:rPr>
                      <w:fldChar w:fldCharType="begin"/>
                    </w:r>
                    <w:r>
                      <w:rPr>
                        <w:rFonts w:hint="eastAsia" w:ascii="FangSong_GB2312" w:hAnsi="FangSong_GB2312" w:eastAsia="FangSong_GB2312" w:cs="FangSong_GB2312"/>
                        <w:sz w:val="28"/>
                        <w:szCs w:val="28"/>
                      </w:rPr>
                      <w:instrText xml:space="preserve"> PAGE  \* MERGEFORMAT </w:instrText>
                    </w:r>
                    <w:r>
                      <w:rPr>
                        <w:rFonts w:hint="eastAsia" w:ascii="FangSong_GB2312" w:hAnsi="FangSong_GB2312" w:eastAsia="FangSong_GB2312" w:cs="FangSong_GB2312"/>
                        <w:sz w:val="28"/>
                        <w:szCs w:val="28"/>
                      </w:rPr>
                      <w:fldChar w:fldCharType="separate"/>
                    </w:r>
                    <w:r>
                      <w:rPr>
                        <w:rFonts w:hint="eastAsia" w:ascii="FangSong_GB2312" w:hAnsi="FangSong_GB2312" w:eastAsia="FangSong_GB2312" w:cs="FangSong_GB2312"/>
                        <w:sz w:val="28"/>
                        <w:szCs w:val="28"/>
                      </w:rPr>
                      <w:t>1</w:t>
                    </w:r>
                    <w:r>
                      <w:rPr>
                        <w:rFonts w:hint="eastAsia" w:ascii="FangSong_GB2312" w:hAnsi="FangSong_GB2312" w:eastAsia="FangSong_GB2312" w:cs="FangSong_GB2312"/>
                        <w:sz w:val="28"/>
                        <w:szCs w:val="28"/>
                      </w:rPr>
                      <w:fldChar w:fldCharType="end"/>
                    </w:r>
                    <w:r>
                      <w:rPr>
                        <w:rFonts w:hint="eastAsia" w:ascii="FangSong_GB2312" w:hAnsi="FangSong_GB2312" w:eastAsia="FangSong_GB2312" w:cs="FangSong_GB2312"/>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E321CE"/>
    <w:multiLevelType w:val="singleLevel"/>
    <w:tmpl w:val="2CE321CE"/>
    <w:lvl w:ilvl="0" w:tentative="0">
      <w:start w:val="3"/>
      <w:numFmt w:val="decimal"/>
      <w:suff w:val="space"/>
      <w:lvlText w:val="%1."/>
      <w:lvlJc w:val="left"/>
    </w:lvl>
  </w:abstractNum>
  <w:abstractNum w:abstractNumId="1">
    <w:nsid w:val="68CD5612"/>
    <w:multiLevelType w:val="multilevel"/>
    <w:tmpl w:val="68CD5612"/>
    <w:lvl w:ilvl="0" w:tentative="0">
      <w:start w:val="1"/>
      <w:numFmt w:val="taiwaneseCountingThousand"/>
      <w:lvlText w:val="%1、"/>
      <w:lvlJc w:val="left"/>
      <w:pPr>
        <w:ind w:left="1048" w:hanging="480"/>
      </w:pPr>
      <w:rPr>
        <w:rFonts w:hint="default"/>
      </w:rPr>
    </w:lvl>
    <w:lvl w:ilvl="1" w:tentative="0">
      <w:start w:val="1"/>
      <w:numFmt w:val="ideographTraditional"/>
      <w:lvlText w:val="%2、"/>
      <w:lvlJc w:val="left"/>
      <w:pPr>
        <w:ind w:left="1600" w:hanging="480"/>
      </w:pPr>
    </w:lvl>
    <w:lvl w:ilvl="2" w:tentative="0">
      <w:start w:val="1"/>
      <w:numFmt w:val="lowerRoman"/>
      <w:lvlText w:val="%3."/>
      <w:lvlJc w:val="right"/>
      <w:pPr>
        <w:ind w:left="2080" w:hanging="480"/>
      </w:pPr>
    </w:lvl>
    <w:lvl w:ilvl="3" w:tentative="0">
      <w:start w:val="1"/>
      <w:numFmt w:val="decimal"/>
      <w:lvlText w:val="%4."/>
      <w:lvlJc w:val="left"/>
      <w:pPr>
        <w:ind w:left="2560" w:hanging="480"/>
      </w:pPr>
    </w:lvl>
    <w:lvl w:ilvl="4" w:tentative="0">
      <w:start w:val="1"/>
      <w:numFmt w:val="ideographTraditional"/>
      <w:lvlText w:val="%5、"/>
      <w:lvlJc w:val="left"/>
      <w:pPr>
        <w:ind w:left="3040" w:hanging="480"/>
      </w:pPr>
    </w:lvl>
    <w:lvl w:ilvl="5" w:tentative="0">
      <w:start w:val="1"/>
      <w:numFmt w:val="lowerRoman"/>
      <w:lvlText w:val="%6."/>
      <w:lvlJc w:val="right"/>
      <w:pPr>
        <w:ind w:left="3520" w:hanging="480"/>
      </w:pPr>
    </w:lvl>
    <w:lvl w:ilvl="6" w:tentative="0">
      <w:start w:val="1"/>
      <w:numFmt w:val="decimal"/>
      <w:lvlText w:val="%7."/>
      <w:lvlJc w:val="left"/>
      <w:pPr>
        <w:ind w:left="4000" w:hanging="480"/>
      </w:pPr>
    </w:lvl>
    <w:lvl w:ilvl="7" w:tentative="0">
      <w:start w:val="1"/>
      <w:numFmt w:val="ideographTraditional"/>
      <w:lvlText w:val="%8、"/>
      <w:lvlJc w:val="left"/>
      <w:pPr>
        <w:ind w:left="4480" w:hanging="480"/>
      </w:pPr>
    </w:lvl>
    <w:lvl w:ilvl="8" w:tentative="0">
      <w:start w:val="1"/>
      <w:numFmt w:val="lowerRoman"/>
      <w:lvlText w:val="%9."/>
      <w:lvlJc w:val="right"/>
      <w:pPr>
        <w:ind w:left="496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ViZTJiZWQzMGMwYzM5OTlkMDJjN2RjMTBmMGI1NjMifQ=="/>
  </w:docVars>
  <w:rsids>
    <w:rsidRoot w:val="00172A27"/>
    <w:rsid w:val="00126EB9"/>
    <w:rsid w:val="001523C5"/>
    <w:rsid w:val="00172A27"/>
    <w:rsid w:val="001F4075"/>
    <w:rsid w:val="00262DC9"/>
    <w:rsid w:val="002D5B74"/>
    <w:rsid w:val="003A1E95"/>
    <w:rsid w:val="00442C63"/>
    <w:rsid w:val="00524B0D"/>
    <w:rsid w:val="005879D9"/>
    <w:rsid w:val="00662700"/>
    <w:rsid w:val="006C6E73"/>
    <w:rsid w:val="006D50FD"/>
    <w:rsid w:val="006E243F"/>
    <w:rsid w:val="0070610D"/>
    <w:rsid w:val="0073221E"/>
    <w:rsid w:val="00756F60"/>
    <w:rsid w:val="007575CE"/>
    <w:rsid w:val="009B1555"/>
    <w:rsid w:val="00A57E34"/>
    <w:rsid w:val="00A72435"/>
    <w:rsid w:val="00AA38F9"/>
    <w:rsid w:val="00AC0953"/>
    <w:rsid w:val="00AD62A4"/>
    <w:rsid w:val="00BF0E90"/>
    <w:rsid w:val="00C17DBC"/>
    <w:rsid w:val="00CE4D49"/>
    <w:rsid w:val="00D57F0F"/>
    <w:rsid w:val="00D63CFE"/>
    <w:rsid w:val="00D74D66"/>
    <w:rsid w:val="00D75BDC"/>
    <w:rsid w:val="00E3794F"/>
    <w:rsid w:val="00F83364"/>
    <w:rsid w:val="00FB56B8"/>
    <w:rsid w:val="05CD3656"/>
    <w:rsid w:val="0AC97FC1"/>
    <w:rsid w:val="0FEF2F46"/>
    <w:rsid w:val="12DD0D85"/>
    <w:rsid w:val="1B6052ED"/>
    <w:rsid w:val="1E165FB4"/>
    <w:rsid w:val="28BE3187"/>
    <w:rsid w:val="291B628B"/>
    <w:rsid w:val="2B954A8A"/>
    <w:rsid w:val="2F2D326E"/>
    <w:rsid w:val="3317221A"/>
    <w:rsid w:val="370B65F6"/>
    <w:rsid w:val="3EEF12A0"/>
    <w:rsid w:val="46DA06CE"/>
    <w:rsid w:val="4A0F608E"/>
    <w:rsid w:val="4AAB464E"/>
    <w:rsid w:val="516E05DF"/>
    <w:rsid w:val="51F51459"/>
    <w:rsid w:val="544F217A"/>
    <w:rsid w:val="550E0762"/>
    <w:rsid w:val="551D02DD"/>
    <w:rsid w:val="55A77AE6"/>
    <w:rsid w:val="56EB4F6A"/>
    <w:rsid w:val="5DAE7489"/>
    <w:rsid w:val="5F223BC2"/>
    <w:rsid w:val="68BA4257"/>
    <w:rsid w:val="6BD75DAE"/>
    <w:rsid w:val="70234771"/>
    <w:rsid w:val="721170D9"/>
    <w:rsid w:val="72475F02"/>
    <w:rsid w:val="79C11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Calibri" w:hAnsi="Calibri" w:eastAsia="宋体" w:cs="Times New Roman"/>
    </w:rPr>
  </w:style>
  <w:style w:type="paragraph" w:styleId="4">
    <w:name w:val="toc 5"/>
    <w:basedOn w:val="1"/>
    <w:next w:val="1"/>
    <w:unhideWhenUsed/>
    <w:qFormat/>
    <w:uiPriority w:val="39"/>
    <w:pPr>
      <w:ind w:left="1680" w:leftChars="8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First Indent"/>
    <w:basedOn w:val="3"/>
    <w:qFormat/>
    <w:uiPriority w:val="0"/>
    <w:pPr>
      <w:ind w:firstLine="420" w:firstLineChars="100"/>
    </w:pPr>
  </w:style>
  <w:style w:type="paragraph" w:styleId="10">
    <w:name w:val="List Paragraph"/>
    <w:basedOn w:val="1"/>
    <w:unhideWhenUsed/>
    <w:qFormat/>
    <w:uiPriority w:val="99"/>
    <w:pPr>
      <w:ind w:left="480" w:left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1494</Words>
  <Characters>1525</Characters>
  <Lines>95</Lines>
  <Paragraphs>91</Paragraphs>
  <TotalTime>2</TotalTime>
  <ScaleCrop>false</ScaleCrop>
  <LinksUpToDate>false</LinksUpToDate>
  <CharactersWithSpaces>2928</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2025-02-18T03:34:00Z</dcterms:created>
  <dc:creator>小王</dc:creator>
  <cp:lastModifiedBy>Administrator</cp:lastModifiedBy>
  <cp:lastPrinted>2025-02-18T03:34:00Z</cp:lastPrinted>
  <dcterms:modified xsi:type="dcterms:W3CDTF">2026-02-14T01:55:11Z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83E59D7F8C6F4CA098F83476CD220C0D</vt:lpwstr>
  </property>
</Properties>
</file>